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27" w:rsidRPr="008C65D9" w:rsidRDefault="005E3923">
      <w:pPr>
        <w:spacing w:after="567" w:line="360" w:lineRule="atLeast"/>
        <w:jc w:val="both"/>
        <w:rPr>
          <w:rFonts w:ascii="Arial" w:hAnsi="Arial" w:cs="Arial"/>
          <w:sz w:val="21"/>
          <w:szCs w:val="21"/>
          <w:lang w:val="pt-BR"/>
        </w:rPr>
      </w:pPr>
      <w:r w:rsidRPr="008C65D9">
        <w:rPr>
          <w:rFonts w:ascii="Arial" w:eastAsia="Arial" w:hAnsi="Arial" w:cs="Arial"/>
          <w:b/>
          <w:bCs/>
          <w:sz w:val="21"/>
          <w:szCs w:val="21"/>
          <w:lang w:val="pt-BR"/>
        </w:rPr>
        <w:t>EXCELENTÍSSIMO(A) SENHOR(A) DOUTOR(A) JUIZ(A) DE UMA DAS VARAS DO TRABALHO DE XXXXXXXXXXXXXXX</w:t>
      </w:r>
    </w:p>
    <w:p w:rsidR="002E5D27" w:rsidRPr="008C65D9" w:rsidRDefault="005E3923">
      <w:pPr>
        <w:jc w:val="both"/>
        <w:rPr>
          <w:rFonts w:ascii="Arial" w:hAnsi="Arial" w:cs="Arial"/>
          <w:sz w:val="21"/>
          <w:szCs w:val="21"/>
          <w:lang w:val="pt-BR"/>
        </w:rPr>
      </w:pPr>
      <w:r w:rsidRPr="008C65D9">
        <w:rPr>
          <w:rFonts w:ascii="Arial" w:hAnsi="Arial" w:cs="Arial"/>
          <w:sz w:val="21"/>
          <w:szCs w:val="21"/>
          <w:lang w:val="pt-BR"/>
        </w:rPr>
        <w:t> </w:t>
      </w:r>
    </w:p>
    <w:p w:rsidR="002E5D27" w:rsidRPr="008C65D9" w:rsidRDefault="005E3923">
      <w:pPr>
        <w:jc w:val="both"/>
        <w:rPr>
          <w:rFonts w:ascii="Arial" w:hAnsi="Arial" w:cs="Arial"/>
          <w:sz w:val="21"/>
          <w:szCs w:val="21"/>
          <w:lang w:val="pt-BR"/>
        </w:rPr>
      </w:pPr>
      <w:r w:rsidRPr="008C65D9">
        <w:rPr>
          <w:rFonts w:ascii="Arial" w:hAnsi="Arial" w:cs="Arial"/>
          <w:sz w:val="21"/>
          <w:szCs w:val="21"/>
          <w:lang w:val="pt-BR"/>
        </w:rPr>
        <w:t> </w:t>
      </w:r>
    </w:p>
    <w:p w:rsidR="002E5D27" w:rsidRPr="008C65D9" w:rsidRDefault="005E3923">
      <w:pPr>
        <w:jc w:val="both"/>
        <w:rPr>
          <w:rFonts w:ascii="Arial" w:hAnsi="Arial" w:cs="Arial"/>
          <w:sz w:val="21"/>
          <w:szCs w:val="21"/>
          <w:lang w:val="pt-BR"/>
        </w:rPr>
      </w:pPr>
      <w:r w:rsidRPr="008C65D9">
        <w:rPr>
          <w:rFonts w:ascii="Arial" w:hAnsi="Arial" w:cs="Arial"/>
          <w:sz w:val="21"/>
          <w:szCs w:val="21"/>
          <w:lang w:val="pt-BR"/>
        </w:rPr>
        <w:t> </w:t>
      </w:r>
    </w:p>
    <w:p w:rsidR="002E5D27" w:rsidRPr="008C65D9" w:rsidRDefault="005E3923">
      <w:pPr>
        <w:jc w:val="both"/>
        <w:rPr>
          <w:rFonts w:ascii="Arial" w:hAnsi="Arial" w:cs="Arial"/>
          <w:sz w:val="21"/>
          <w:szCs w:val="21"/>
          <w:lang w:val="pt-BR"/>
        </w:rPr>
      </w:pPr>
      <w:r w:rsidRPr="008C65D9">
        <w:rPr>
          <w:rFonts w:ascii="Arial" w:hAnsi="Arial" w:cs="Arial"/>
          <w:sz w:val="21"/>
          <w:szCs w:val="21"/>
          <w:lang w:val="pt-BR"/>
        </w:rPr>
        <w:t> </w:t>
      </w:r>
    </w:p>
    <w:p w:rsidR="002E5D27" w:rsidRPr="008C65D9" w:rsidRDefault="005E3923">
      <w:pPr>
        <w:jc w:val="both"/>
        <w:rPr>
          <w:rFonts w:ascii="Arial" w:hAnsi="Arial" w:cs="Arial"/>
          <w:sz w:val="21"/>
          <w:szCs w:val="21"/>
          <w:lang w:val="pt-BR"/>
        </w:rPr>
      </w:pPr>
      <w:r w:rsidRPr="008C65D9">
        <w:rPr>
          <w:rFonts w:ascii="Arial" w:hAnsi="Arial" w:cs="Arial"/>
          <w:sz w:val="21"/>
          <w:szCs w:val="21"/>
          <w:lang w:val="pt-BR"/>
        </w:rPr>
        <w:t> </w:t>
      </w:r>
    </w:p>
    <w:p w:rsidR="002E5D27" w:rsidRPr="008C65D9" w:rsidRDefault="005E3923">
      <w:pPr>
        <w:jc w:val="both"/>
        <w:rPr>
          <w:rFonts w:ascii="Arial" w:hAnsi="Arial" w:cs="Arial"/>
          <w:sz w:val="21"/>
          <w:szCs w:val="21"/>
          <w:lang w:val="pt-BR"/>
        </w:rPr>
      </w:pPr>
      <w:r w:rsidRPr="008C65D9">
        <w:rPr>
          <w:rFonts w:ascii="Arial" w:hAnsi="Arial" w:cs="Arial"/>
          <w:sz w:val="21"/>
          <w:szCs w:val="21"/>
          <w:lang w:val="pt-BR"/>
        </w:rPr>
        <w:t> </w:t>
      </w:r>
    </w:p>
    <w:p w:rsidR="002E5D27" w:rsidRPr="008C65D9" w:rsidRDefault="005E3923">
      <w:pPr>
        <w:jc w:val="both"/>
        <w:rPr>
          <w:rFonts w:ascii="Arial" w:hAnsi="Arial" w:cs="Arial"/>
          <w:sz w:val="21"/>
          <w:szCs w:val="21"/>
          <w:lang w:val="pt-BR"/>
        </w:rPr>
      </w:pPr>
      <w:r w:rsidRPr="008C65D9">
        <w:rPr>
          <w:rFonts w:ascii="Arial" w:hAnsi="Arial" w:cs="Arial"/>
          <w:sz w:val="21"/>
          <w:szCs w:val="21"/>
          <w:lang w:val="pt-BR"/>
        </w:rPr>
        <w:t> </w:t>
      </w:r>
    </w:p>
    <w:p w:rsidR="002E5D27" w:rsidRPr="008C65D9" w:rsidRDefault="005E3923">
      <w:pPr>
        <w:jc w:val="both"/>
        <w:rPr>
          <w:rFonts w:ascii="Arial" w:hAnsi="Arial" w:cs="Arial"/>
          <w:sz w:val="21"/>
          <w:szCs w:val="21"/>
          <w:lang w:val="pt-BR"/>
        </w:rPr>
      </w:pPr>
      <w:r w:rsidRPr="008C65D9">
        <w:rPr>
          <w:rFonts w:ascii="Arial" w:hAnsi="Arial" w:cs="Arial"/>
          <w:sz w:val="21"/>
          <w:szCs w:val="21"/>
          <w:lang w:val="pt-BR"/>
        </w:rPr>
        <w:t> </w:t>
      </w:r>
    </w:p>
    <w:p w:rsidR="002E5D27" w:rsidRPr="008C65D9" w:rsidRDefault="005E3923">
      <w:pPr>
        <w:jc w:val="both"/>
        <w:rPr>
          <w:rFonts w:ascii="Arial" w:hAnsi="Arial" w:cs="Arial"/>
          <w:sz w:val="21"/>
          <w:szCs w:val="21"/>
          <w:lang w:val="pt-BR"/>
        </w:rPr>
      </w:pPr>
      <w:r w:rsidRPr="008C65D9">
        <w:rPr>
          <w:rFonts w:ascii="Arial" w:hAnsi="Arial" w:cs="Arial"/>
          <w:sz w:val="21"/>
          <w:szCs w:val="21"/>
          <w:lang w:val="pt-BR"/>
        </w:rPr>
        <w:t> </w:t>
      </w:r>
    </w:p>
    <w:p w:rsidR="002E5D27" w:rsidRPr="008C65D9" w:rsidRDefault="005E3923">
      <w:pPr>
        <w:pStyle w:val="MsoBodyText0"/>
        <w:spacing w:before="240" w:after="567" w:line="360" w:lineRule="atLeast"/>
        <w:jc w:val="right"/>
        <w:rPr>
          <w:rFonts w:ascii="Arial" w:hAnsi="Arial" w:cs="Arial"/>
          <w:sz w:val="21"/>
          <w:szCs w:val="21"/>
          <w:lang w:val="pt-BR"/>
        </w:rPr>
      </w:pPr>
      <w:r w:rsidRPr="008C65D9">
        <w:rPr>
          <w:rFonts w:ascii="Arial" w:eastAsia="Arial" w:hAnsi="Arial" w:cs="Arial"/>
          <w:b/>
          <w:bCs/>
          <w:sz w:val="21"/>
          <w:szCs w:val="21"/>
          <w:lang w:val="pt-BR"/>
        </w:rPr>
        <w:t>JUSTIÇA GRATUITA – ART. 87 do CDC c/c ART. 18 DA LEI 7347/1985</w:t>
      </w:r>
    </w:p>
    <w:p w:rsidR="002E5D27" w:rsidRPr="008C65D9" w:rsidRDefault="005E3923">
      <w:pPr>
        <w:jc w:val="both"/>
        <w:rPr>
          <w:rFonts w:ascii="Arial" w:hAnsi="Arial" w:cs="Arial"/>
          <w:sz w:val="21"/>
          <w:szCs w:val="21"/>
          <w:lang w:val="pt-BR"/>
        </w:rPr>
      </w:pPr>
      <w:r w:rsidRPr="008C65D9">
        <w:rPr>
          <w:rFonts w:ascii="Arial" w:hAnsi="Arial" w:cs="Arial"/>
          <w:sz w:val="21"/>
          <w:szCs w:val="21"/>
          <w:lang w:val="pt-BR"/>
        </w:rPr>
        <w:t> </w:t>
      </w:r>
    </w:p>
    <w:p w:rsidR="002E5D27" w:rsidRPr="008C65D9" w:rsidRDefault="005E3923" w:rsidP="007E4D16">
      <w:pPr>
        <w:spacing w:before="240" w:after="567" w:line="360" w:lineRule="atLeast"/>
        <w:ind w:firstLine="2268"/>
        <w:jc w:val="both"/>
        <w:rPr>
          <w:rFonts w:ascii="Arial" w:hAnsi="Arial" w:cs="Arial"/>
          <w:sz w:val="21"/>
          <w:szCs w:val="21"/>
          <w:lang w:val="pt-BR"/>
        </w:rPr>
      </w:pPr>
      <w:r w:rsidRPr="008C65D9">
        <w:rPr>
          <w:rFonts w:ascii="Arial" w:hAnsi="Arial" w:cs="Arial"/>
          <w:sz w:val="21"/>
          <w:szCs w:val="21"/>
          <w:lang w:val="pt-BR"/>
        </w:rPr>
        <w:t> </w:t>
      </w:r>
    </w:p>
    <w:p w:rsidR="002E5D27" w:rsidRPr="00241897" w:rsidRDefault="00F8500D" w:rsidP="00417666">
      <w:pPr>
        <w:spacing w:before="240" w:after="567" w:line="360" w:lineRule="atLeast"/>
        <w:ind w:firstLine="2268"/>
        <w:jc w:val="both"/>
        <w:rPr>
          <w:rFonts w:ascii="Arial" w:eastAsia="Arial" w:hAnsi="Arial" w:cs="Arial"/>
          <w:sz w:val="21"/>
          <w:szCs w:val="21"/>
          <w:lang w:val="pt-BR"/>
        </w:rPr>
      </w:pPr>
      <w:r>
        <w:rPr>
          <w:rFonts w:ascii="Arial" w:eastAsia="Arial" w:hAnsi="Arial" w:cs="Arial"/>
          <w:b/>
          <w:bCs/>
          <w:sz w:val="21"/>
          <w:szCs w:val="21"/>
          <w:lang w:val="pt-BR"/>
        </w:rPr>
        <w:t>FEDERAÇÃO NACIONAL DOS TRABALHADORES NO SERVIÇO PÚBLICO FEDERAL - FENADSEF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, entidade sindical de </w:t>
      </w:r>
      <w:r w:rsidR="007624DF">
        <w:rPr>
          <w:rFonts w:ascii="Arial" w:eastAsia="Arial" w:hAnsi="Arial" w:cs="Arial"/>
          <w:sz w:val="21"/>
          <w:szCs w:val="21"/>
          <w:lang w:val="pt-BR"/>
        </w:rPr>
        <w:t>segundo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 grau, com sede </w:t>
      </w:r>
      <w:r w:rsidR="00241897">
        <w:rPr>
          <w:rFonts w:ascii="Arial" w:eastAsia="Arial" w:hAnsi="Arial" w:cs="Arial"/>
          <w:sz w:val="21"/>
          <w:szCs w:val="21"/>
          <w:lang w:val="pt-BR"/>
        </w:rPr>
        <w:t xml:space="preserve">no Setor Comercial Sul Quadra 01 – Bloco </w:t>
      </w:r>
      <w:proofErr w:type="gramStart"/>
      <w:r w:rsidR="00241897">
        <w:rPr>
          <w:rFonts w:ascii="Arial" w:eastAsia="Arial" w:hAnsi="Arial" w:cs="Arial"/>
          <w:sz w:val="21"/>
          <w:szCs w:val="21"/>
          <w:lang w:val="pt-BR"/>
        </w:rPr>
        <w:t>K ,</w:t>
      </w:r>
      <w:proofErr w:type="gramEnd"/>
      <w:r w:rsidR="00241897">
        <w:rPr>
          <w:rFonts w:ascii="Arial" w:eastAsia="Arial" w:hAnsi="Arial" w:cs="Arial"/>
          <w:sz w:val="21"/>
          <w:szCs w:val="21"/>
          <w:lang w:val="pt-BR"/>
        </w:rPr>
        <w:t xml:space="preserve"> nº 30 – 15º Andar – Edifício </w:t>
      </w:r>
      <w:proofErr w:type="spellStart"/>
      <w:r w:rsidR="00241897">
        <w:rPr>
          <w:rFonts w:ascii="Arial" w:eastAsia="Arial" w:hAnsi="Arial" w:cs="Arial"/>
          <w:sz w:val="21"/>
          <w:szCs w:val="21"/>
          <w:lang w:val="pt-BR"/>
        </w:rPr>
        <w:t>Denasa</w:t>
      </w:r>
      <w:proofErr w:type="spellEnd"/>
      <w:r w:rsidR="00241897">
        <w:rPr>
          <w:rFonts w:ascii="Arial" w:eastAsia="Arial" w:hAnsi="Arial" w:cs="Arial"/>
          <w:sz w:val="21"/>
          <w:szCs w:val="21"/>
          <w:lang w:val="pt-BR"/>
        </w:rPr>
        <w:t xml:space="preserve">, Asa Sul, Brasília – Distrito Federal, cep: 70398-900, </w:t>
      </w:r>
      <w:r w:rsidRPr="008C65D9">
        <w:rPr>
          <w:rFonts w:ascii="Arial" w:eastAsia="Arial" w:hAnsi="Arial" w:cs="Arial"/>
          <w:sz w:val="21"/>
          <w:szCs w:val="21"/>
          <w:lang w:val="pt-BR"/>
        </w:rPr>
        <w:t>CNPJ n</w:t>
      </w:r>
      <w:r w:rsidR="00241897">
        <w:rPr>
          <w:rFonts w:ascii="Arial" w:eastAsia="Arial" w:hAnsi="Arial" w:cs="Arial"/>
          <w:sz w:val="21"/>
          <w:szCs w:val="21"/>
          <w:lang w:val="pt-BR"/>
        </w:rPr>
        <w:t>º 22.110.805/0001-20</w:t>
      </w:r>
      <w:r w:rsidRPr="008C65D9">
        <w:rPr>
          <w:rFonts w:ascii="Arial" w:eastAsia="Arial" w:hAnsi="Arial" w:cs="Arial"/>
          <w:sz w:val="21"/>
          <w:szCs w:val="21"/>
          <w:lang w:val="pt-BR"/>
        </w:rPr>
        <w:t>, registro sindical n. </w:t>
      </w:r>
      <w:r w:rsidR="00241897" w:rsidRPr="00241897">
        <w:rPr>
          <w:rFonts w:ascii="Arial" w:eastAsia="Arial" w:hAnsi="Arial" w:cs="Arial"/>
          <w:sz w:val="21"/>
          <w:szCs w:val="21"/>
          <w:lang w:val="pt-BR"/>
        </w:rPr>
        <w:t>000.000.611.00000-8</w:t>
      </w:r>
      <w:r w:rsidR="00417666">
        <w:rPr>
          <w:rFonts w:ascii="Arial" w:eastAsia="Arial" w:hAnsi="Arial" w:cs="Arial"/>
          <w:sz w:val="21"/>
          <w:szCs w:val="21"/>
          <w:lang w:val="pt-BR"/>
        </w:rPr>
        <w:t xml:space="preserve"> e o Sindicato XXXXXXX </w:t>
      </w:r>
      <w:r w:rsidRPr="008C65D9">
        <w:rPr>
          <w:rFonts w:ascii="Arial" w:eastAsia="Arial" w:hAnsi="Arial" w:cs="Arial"/>
          <w:sz w:val="21"/>
          <w:szCs w:val="21"/>
          <w:lang w:val="pt-BR"/>
        </w:rPr>
        <w:t> requerendo intimações</w:t>
      </w:r>
      <w:r w:rsidR="00417666">
        <w:rPr>
          <w:rFonts w:ascii="Arial" w:eastAsia="Arial" w:hAnsi="Arial" w:cs="Arial"/>
          <w:sz w:val="21"/>
          <w:szCs w:val="21"/>
          <w:lang w:val="pt-BR"/>
        </w:rPr>
        <w:t xml:space="preserve"> em </w:t>
      </w:r>
      <w:r w:rsidRPr="008C65D9">
        <w:rPr>
          <w:rFonts w:ascii="Arial" w:eastAsia="Arial" w:hAnsi="Arial" w:cs="Arial"/>
          <w:sz w:val="21"/>
          <w:szCs w:val="21"/>
          <w:lang w:val="pt-BR"/>
        </w:rPr>
        <w:t>nome do</w:t>
      </w:r>
      <w:r w:rsidR="00417666">
        <w:rPr>
          <w:rFonts w:ascii="Arial" w:eastAsia="Arial" w:hAnsi="Arial" w:cs="Arial"/>
          <w:sz w:val="21"/>
          <w:szCs w:val="21"/>
          <w:lang w:val="pt-BR"/>
        </w:rPr>
        <w:t>s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 advogado</w:t>
      </w:r>
      <w:r w:rsidR="00417666">
        <w:rPr>
          <w:rFonts w:ascii="Arial" w:eastAsia="Arial" w:hAnsi="Arial" w:cs="Arial"/>
          <w:sz w:val="21"/>
          <w:szCs w:val="21"/>
          <w:lang w:val="pt-BR"/>
        </w:rPr>
        <w:t>s</w:t>
      </w:r>
      <w:r w:rsidRPr="008C65D9">
        <w:rPr>
          <w:rFonts w:ascii="Arial" w:eastAsia="Arial" w:hAnsi="Arial" w:cs="Arial"/>
          <w:sz w:val="21"/>
          <w:szCs w:val="21"/>
          <w:lang w:val="pt-BR"/>
        </w:rPr>
        <w:t> </w:t>
      </w:r>
      <w:r w:rsidR="00417666" w:rsidRPr="00417666">
        <w:rPr>
          <w:rFonts w:ascii="Arial" w:eastAsia="Arial" w:hAnsi="Arial" w:cs="Arial"/>
          <w:sz w:val="21"/>
          <w:szCs w:val="21"/>
          <w:lang w:val="pt-BR"/>
        </w:rPr>
        <w:t>JOSÉ EYMARD LOGUERCIO</w:t>
      </w:r>
      <w:r w:rsidR="00417666">
        <w:rPr>
          <w:rFonts w:ascii="Arial" w:eastAsia="Arial" w:hAnsi="Arial" w:cs="Arial"/>
          <w:sz w:val="21"/>
          <w:szCs w:val="21"/>
          <w:lang w:val="pt-BR"/>
        </w:rPr>
        <w:t xml:space="preserve">, </w:t>
      </w:r>
      <w:r w:rsidR="00417666" w:rsidRPr="00417666">
        <w:rPr>
          <w:rFonts w:ascii="Arial" w:eastAsia="Arial" w:hAnsi="Arial" w:cs="Arial"/>
          <w:sz w:val="21"/>
          <w:szCs w:val="21"/>
          <w:lang w:val="pt-BR"/>
        </w:rPr>
        <w:t xml:space="preserve"> OAB/DF 1.441-A</w:t>
      </w:r>
      <w:r w:rsidR="00417666">
        <w:rPr>
          <w:rFonts w:ascii="Arial" w:eastAsia="Arial" w:hAnsi="Arial" w:cs="Arial"/>
          <w:sz w:val="21"/>
          <w:szCs w:val="21"/>
          <w:lang w:val="pt-BR"/>
        </w:rPr>
        <w:t xml:space="preserve"> e </w:t>
      </w:r>
      <w:proofErr w:type="spellStart"/>
      <w:r w:rsidR="00A73AC1" w:rsidRPr="008C65D9">
        <w:rPr>
          <w:rFonts w:ascii="Arial" w:eastAsia="Arial" w:hAnsi="Arial" w:cs="Arial"/>
          <w:sz w:val="21"/>
          <w:szCs w:val="21"/>
          <w:lang w:val="pt-BR"/>
        </w:rPr>
        <w:t>xxxxxxxxxxxxxxxxxx</w:t>
      </w:r>
      <w:proofErr w:type="spellEnd"/>
      <w:r w:rsidRPr="008C65D9">
        <w:rPr>
          <w:rFonts w:ascii="Arial" w:eastAsia="Arial" w:hAnsi="Arial" w:cs="Arial"/>
          <w:sz w:val="21"/>
          <w:szCs w:val="21"/>
          <w:lang w:val="pt-BR"/>
        </w:rPr>
        <w:t>, OAB/</w:t>
      </w:r>
      <w:proofErr w:type="spellStart"/>
      <w:r w:rsidR="00A73AC1" w:rsidRPr="008C65D9">
        <w:rPr>
          <w:rFonts w:ascii="Arial" w:eastAsia="Arial" w:hAnsi="Arial" w:cs="Arial"/>
          <w:sz w:val="21"/>
          <w:szCs w:val="21"/>
          <w:lang w:val="pt-BR"/>
        </w:rPr>
        <w:t>xxxxxxxxx</w:t>
      </w:r>
      <w:proofErr w:type="spellEnd"/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, sob pena de nulidade (Súmula 427), vem respeitosamente à presença de Vossa Excelência, por intermédio de seus advogados (procurações anexas), com endereço para as futuras intimações </w:t>
      </w:r>
      <w:proofErr w:type="spellStart"/>
      <w:r w:rsidR="00A73AC1" w:rsidRPr="008C65D9">
        <w:rPr>
          <w:rFonts w:ascii="Arial" w:eastAsia="Arial" w:hAnsi="Arial" w:cs="Arial"/>
          <w:sz w:val="21"/>
          <w:szCs w:val="21"/>
          <w:lang w:val="pt-BR"/>
        </w:rPr>
        <w:t>xxxxxxxxxxxxxxxxxxxxx</w:t>
      </w:r>
      <w:proofErr w:type="spellEnd"/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, CEP nº </w:t>
      </w:r>
      <w:proofErr w:type="spellStart"/>
      <w:r w:rsidR="00A73AC1" w:rsidRPr="008C65D9">
        <w:rPr>
          <w:rFonts w:ascii="Arial" w:eastAsia="Arial" w:hAnsi="Arial" w:cs="Arial"/>
          <w:sz w:val="21"/>
          <w:szCs w:val="21"/>
          <w:lang w:val="pt-BR"/>
        </w:rPr>
        <w:t>xxxxxxxxxxxxxx</w:t>
      </w:r>
      <w:proofErr w:type="spellEnd"/>
      <w:r w:rsidRPr="008C65D9">
        <w:rPr>
          <w:rFonts w:ascii="Arial" w:eastAsia="Arial" w:hAnsi="Arial" w:cs="Arial"/>
          <w:sz w:val="21"/>
          <w:szCs w:val="21"/>
          <w:lang w:val="pt-BR"/>
        </w:rPr>
        <w:t>, vem na condição de substituto processual, propor:</w:t>
      </w:r>
    </w:p>
    <w:p w:rsidR="002E5D27" w:rsidRPr="008C65D9" w:rsidRDefault="005E3923">
      <w:pPr>
        <w:spacing w:before="240" w:after="567" w:line="360" w:lineRule="atLeast"/>
        <w:jc w:val="center"/>
        <w:rPr>
          <w:rFonts w:ascii="Arial" w:hAnsi="Arial" w:cs="Arial"/>
          <w:sz w:val="21"/>
          <w:szCs w:val="21"/>
          <w:lang w:val="pt-BR"/>
        </w:rPr>
      </w:pPr>
      <w:r w:rsidRPr="008C65D9">
        <w:rPr>
          <w:rFonts w:ascii="Arial" w:eastAsia="Arial" w:hAnsi="Arial" w:cs="Arial"/>
          <w:b/>
          <w:bCs/>
          <w:sz w:val="21"/>
          <w:szCs w:val="21"/>
          <w:lang w:val="pt-BR"/>
        </w:rPr>
        <w:t>AÇÃO CIVIL PÚBLICA</w:t>
      </w:r>
      <w:r w:rsidRPr="008C65D9">
        <w:rPr>
          <w:rFonts w:ascii="Arial" w:eastAsia="Arial" w:hAnsi="Arial" w:cs="Arial"/>
          <w:b/>
          <w:bCs/>
          <w:sz w:val="21"/>
          <w:szCs w:val="21"/>
          <w:lang w:val="pt-BR"/>
        </w:rPr>
        <w:br/>
        <w:t>COM PEDIDO DE TUTELA DE URGÊNCIA</w:t>
      </w:r>
    </w:p>
    <w:p w:rsidR="002E5D27" w:rsidRPr="00417666" w:rsidRDefault="005E3923" w:rsidP="00417666">
      <w:pPr>
        <w:spacing w:before="240" w:after="567" w:line="360" w:lineRule="atLeast"/>
        <w:ind w:firstLine="2268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8C65D9">
        <w:rPr>
          <w:rFonts w:ascii="Arial" w:eastAsia="Arial" w:hAnsi="Arial" w:cs="Arial"/>
          <w:sz w:val="21"/>
          <w:szCs w:val="21"/>
          <w:lang w:val="pt-BR"/>
        </w:rPr>
        <w:t>em face de </w:t>
      </w:r>
      <w:r w:rsidR="00417666" w:rsidRPr="00417666">
        <w:rPr>
          <w:rFonts w:ascii="Arial" w:eastAsia="Arial" w:hAnsi="Arial" w:cs="Arial"/>
          <w:sz w:val="21"/>
          <w:szCs w:val="21"/>
          <w:lang w:val="pt-BR"/>
        </w:rPr>
        <w:t>Empresa Brasileira de Serviços Hospitalares</w:t>
      </w:r>
      <w:r w:rsidR="00417666">
        <w:rPr>
          <w:rFonts w:ascii="Arial" w:eastAsia="Arial" w:hAnsi="Arial" w:cs="Arial"/>
          <w:sz w:val="21"/>
          <w:szCs w:val="21"/>
          <w:lang w:val="pt-BR"/>
        </w:rPr>
        <w:t xml:space="preserve"> - EBSERH</w:t>
      </w:r>
      <w:r w:rsidRPr="008C65D9">
        <w:rPr>
          <w:rFonts w:ascii="Arial" w:eastAsia="Arial" w:hAnsi="Arial" w:cs="Arial"/>
          <w:b/>
          <w:bCs/>
          <w:sz w:val="21"/>
          <w:szCs w:val="21"/>
          <w:lang w:val="pt-BR"/>
        </w:rPr>
        <w:t xml:space="preserve">, </w:t>
      </w:r>
      <w:r w:rsidRPr="008C65D9">
        <w:rPr>
          <w:rFonts w:ascii="Arial" w:eastAsia="Arial" w:hAnsi="Arial" w:cs="Arial"/>
          <w:sz w:val="21"/>
          <w:szCs w:val="21"/>
          <w:lang w:val="pt-BR"/>
        </w:rPr>
        <w:t>inscrita no CNPJ n° </w:t>
      </w:r>
      <w:r w:rsidR="00417666" w:rsidRPr="00417666">
        <w:rPr>
          <w:rFonts w:ascii="Arial" w:eastAsia="Arial" w:hAnsi="Arial" w:cs="Arial"/>
          <w:sz w:val="21"/>
          <w:szCs w:val="21"/>
          <w:lang w:val="pt-BR"/>
        </w:rPr>
        <w:t>15.126.437/0035-92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, situada à </w:t>
      </w:r>
      <w:r w:rsidR="00417666" w:rsidRPr="00417666">
        <w:rPr>
          <w:rFonts w:ascii="Arial" w:eastAsia="Arial" w:hAnsi="Arial" w:cs="Arial"/>
          <w:sz w:val="21"/>
          <w:szCs w:val="21"/>
          <w:lang w:val="pt-BR"/>
        </w:rPr>
        <w:t>SCS-QUADRA 09, LOTE C, ED. PQ CIDADE CORPORATE</w:t>
      </w:r>
      <w:r w:rsidR="00417666" w:rsidRPr="00417666">
        <w:rPr>
          <w:rFonts w:ascii="Arial" w:eastAsia="Arial" w:hAnsi="Arial" w:cs="Arial"/>
          <w:sz w:val="21"/>
          <w:szCs w:val="21"/>
          <w:lang w:val="pt-BR"/>
        </w:rPr>
        <w:tab/>
        <w:t>BLOCO 3 3º ANDAR</w:t>
      </w:r>
      <w:r w:rsidR="00417666">
        <w:rPr>
          <w:rFonts w:ascii="Arial" w:eastAsia="Arial" w:hAnsi="Arial" w:cs="Arial"/>
          <w:sz w:val="21"/>
          <w:szCs w:val="21"/>
          <w:lang w:val="pt-BR"/>
        </w:rPr>
        <w:t xml:space="preserve"> – CEP: </w:t>
      </w:r>
      <w:r w:rsidR="00417666" w:rsidRPr="00417666">
        <w:rPr>
          <w:rFonts w:ascii="Arial" w:eastAsia="Arial" w:hAnsi="Arial" w:cs="Arial"/>
          <w:sz w:val="21"/>
          <w:szCs w:val="21"/>
          <w:lang w:val="pt-BR"/>
        </w:rPr>
        <w:t>70308200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, </w:t>
      </w:r>
      <w:r w:rsidRPr="008C65D9">
        <w:rPr>
          <w:rFonts w:ascii="Arial" w:eastAsia="Arial" w:hAnsi="Arial" w:cs="Arial"/>
          <w:b/>
          <w:bCs/>
          <w:sz w:val="21"/>
          <w:szCs w:val="21"/>
          <w:u w:val="single"/>
          <w:lang w:val="pt-BR"/>
        </w:rPr>
        <w:t xml:space="preserve">relativamente a todas </w:t>
      </w:r>
      <w:r w:rsidR="007B4E0E">
        <w:rPr>
          <w:rFonts w:ascii="Arial" w:eastAsia="Arial" w:hAnsi="Arial" w:cs="Arial"/>
          <w:b/>
          <w:bCs/>
          <w:sz w:val="21"/>
          <w:szCs w:val="21"/>
          <w:u w:val="single"/>
          <w:lang w:val="pt-BR"/>
        </w:rPr>
        <w:t>os</w:t>
      </w:r>
      <w:r w:rsidRPr="008C65D9">
        <w:rPr>
          <w:rFonts w:ascii="Arial" w:eastAsia="Arial" w:hAnsi="Arial" w:cs="Arial"/>
          <w:b/>
          <w:bCs/>
          <w:sz w:val="21"/>
          <w:szCs w:val="21"/>
          <w:u w:val="single"/>
          <w:lang w:val="pt-BR"/>
        </w:rPr>
        <w:t xml:space="preserve"> estabelecimentos da base territorial d</w:t>
      </w:r>
      <w:r w:rsidR="00417666">
        <w:rPr>
          <w:rFonts w:ascii="Arial" w:eastAsia="Arial" w:hAnsi="Arial" w:cs="Arial"/>
          <w:b/>
          <w:bCs/>
          <w:sz w:val="21"/>
          <w:szCs w:val="21"/>
          <w:u w:val="single"/>
          <w:lang w:val="pt-BR"/>
        </w:rPr>
        <w:t>a</w:t>
      </w:r>
      <w:r w:rsidRPr="008C65D9">
        <w:rPr>
          <w:rFonts w:ascii="Arial" w:eastAsia="Arial" w:hAnsi="Arial" w:cs="Arial"/>
          <w:b/>
          <w:bCs/>
          <w:sz w:val="21"/>
          <w:szCs w:val="21"/>
          <w:u w:val="single"/>
          <w:lang w:val="pt-BR"/>
        </w:rPr>
        <w:t xml:space="preserve"> </w:t>
      </w:r>
      <w:r w:rsidR="00417666">
        <w:rPr>
          <w:rFonts w:ascii="Arial" w:eastAsia="Arial" w:hAnsi="Arial" w:cs="Arial"/>
          <w:b/>
          <w:bCs/>
          <w:sz w:val="21"/>
          <w:szCs w:val="21"/>
          <w:u w:val="single"/>
          <w:lang w:val="pt-BR"/>
        </w:rPr>
        <w:t>FENADSEF, inclusive do Sindicato requerente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, </w:t>
      </w:r>
      <w:r w:rsidRPr="008C65D9">
        <w:rPr>
          <w:rFonts w:ascii="Arial" w:eastAsia="Arial" w:hAnsi="Arial" w:cs="Arial"/>
          <w:sz w:val="21"/>
          <w:szCs w:val="21"/>
          <w:lang w:val="pt-BR"/>
        </w:rPr>
        <w:lastRenderedPageBreak/>
        <w:t>conforme estatuto e em harmonia ao previsto na Orientação Jurisprudencial n. 130, da SDI-2, do TST, pelos seguintes motivos de fato e de direito.</w:t>
      </w:r>
    </w:p>
    <w:p w:rsidR="002E5D27" w:rsidRPr="008C65D9" w:rsidRDefault="005E3923">
      <w:pPr>
        <w:spacing w:before="240" w:after="567" w:line="360" w:lineRule="atLeast"/>
        <w:jc w:val="both"/>
        <w:rPr>
          <w:rFonts w:ascii="Arial" w:hAnsi="Arial" w:cs="Arial"/>
          <w:sz w:val="21"/>
          <w:szCs w:val="21"/>
          <w:lang w:val="pt-BR"/>
        </w:rPr>
      </w:pPr>
      <w:r w:rsidRPr="008C65D9">
        <w:rPr>
          <w:rFonts w:ascii="Arial" w:eastAsia="Arial" w:hAnsi="Arial" w:cs="Arial"/>
          <w:b/>
          <w:bCs/>
          <w:sz w:val="21"/>
          <w:szCs w:val="21"/>
          <w:lang w:val="pt-BR"/>
        </w:rPr>
        <w:t>1 SUBSTITUIÇÃO PROCESSUAL</w:t>
      </w:r>
    </w:p>
    <w:p w:rsidR="002E5D27" w:rsidRPr="008C65D9" w:rsidRDefault="005E3923" w:rsidP="007E4D16">
      <w:pPr>
        <w:spacing w:before="240" w:after="567" w:line="360" w:lineRule="atLeast"/>
        <w:ind w:firstLine="2268"/>
        <w:jc w:val="both"/>
        <w:rPr>
          <w:rFonts w:ascii="Arial" w:hAnsi="Arial" w:cs="Arial"/>
          <w:sz w:val="21"/>
          <w:szCs w:val="21"/>
          <w:lang w:val="pt-BR"/>
        </w:rPr>
      </w:pPr>
      <w:r w:rsidRPr="008C65D9">
        <w:rPr>
          <w:rFonts w:ascii="Arial" w:eastAsia="Arial" w:hAnsi="Arial" w:cs="Arial"/>
          <w:sz w:val="21"/>
          <w:szCs w:val="21"/>
          <w:lang w:val="pt-BR"/>
        </w:rPr>
        <w:t>A</w:t>
      </w:r>
      <w:r w:rsidR="00417666">
        <w:rPr>
          <w:rFonts w:ascii="Arial" w:eastAsia="Arial" w:hAnsi="Arial" w:cs="Arial"/>
          <w:sz w:val="21"/>
          <w:szCs w:val="21"/>
          <w:lang w:val="pt-BR"/>
        </w:rPr>
        <w:t>s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 entidade</w:t>
      </w:r>
      <w:r w:rsidR="00417666">
        <w:rPr>
          <w:rFonts w:ascii="Arial" w:eastAsia="Arial" w:hAnsi="Arial" w:cs="Arial"/>
          <w:sz w:val="21"/>
          <w:szCs w:val="21"/>
          <w:lang w:val="pt-BR"/>
        </w:rPr>
        <w:t>s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 sindica</w:t>
      </w:r>
      <w:r w:rsidR="00417666">
        <w:rPr>
          <w:rFonts w:ascii="Arial" w:eastAsia="Arial" w:hAnsi="Arial" w:cs="Arial"/>
          <w:sz w:val="21"/>
          <w:szCs w:val="21"/>
          <w:lang w:val="pt-BR"/>
        </w:rPr>
        <w:t>is</w:t>
      </w:r>
      <w:r w:rsidR="002C4691" w:rsidRPr="008C65D9">
        <w:rPr>
          <w:rFonts w:ascii="Arial" w:eastAsia="Arial" w:hAnsi="Arial" w:cs="Arial"/>
          <w:sz w:val="21"/>
          <w:szCs w:val="21"/>
          <w:lang w:val="pt-BR"/>
        </w:rPr>
        <w:t xml:space="preserve"> </w:t>
      </w:r>
      <w:r w:rsidRPr="008C65D9">
        <w:rPr>
          <w:rFonts w:ascii="Arial" w:eastAsia="Arial" w:hAnsi="Arial" w:cs="Arial"/>
          <w:sz w:val="21"/>
          <w:szCs w:val="21"/>
          <w:lang w:val="pt-BR"/>
        </w:rPr>
        <w:t>reclamante</w:t>
      </w:r>
      <w:r w:rsidR="00417666">
        <w:rPr>
          <w:rFonts w:ascii="Arial" w:eastAsia="Arial" w:hAnsi="Arial" w:cs="Arial"/>
          <w:sz w:val="21"/>
          <w:szCs w:val="21"/>
          <w:lang w:val="pt-BR"/>
        </w:rPr>
        <w:t>s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 age</w:t>
      </w:r>
      <w:r w:rsidR="00417666">
        <w:rPr>
          <w:rFonts w:ascii="Arial" w:eastAsia="Arial" w:hAnsi="Arial" w:cs="Arial"/>
          <w:sz w:val="21"/>
          <w:szCs w:val="21"/>
          <w:lang w:val="pt-BR"/>
        </w:rPr>
        <w:t>m</w:t>
      </w:r>
      <w:r w:rsidR="002C4691" w:rsidRPr="008C65D9">
        <w:rPr>
          <w:rFonts w:ascii="Arial" w:eastAsia="Arial" w:hAnsi="Arial" w:cs="Arial"/>
          <w:sz w:val="21"/>
          <w:szCs w:val="21"/>
          <w:lang w:val="pt-BR"/>
        </w:rPr>
        <w:t xml:space="preserve"> 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no presente feito na qualidade </w:t>
      </w:r>
      <w:r w:rsidRPr="008C65D9">
        <w:rPr>
          <w:rFonts w:ascii="Arial" w:eastAsia="Arial" w:hAnsi="Arial" w:cs="Arial"/>
          <w:sz w:val="21"/>
          <w:szCs w:val="21"/>
          <w:lang w:val="pt-BR"/>
        </w:rPr>
        <w:t>de substitut</w:t>
      </w:r>
      <w:r w:rsidR="002C4691" w:rsidRPr="008C65D9">
        <w:rPr>
          <w:rFonts w:ascii="Arial" w:eastAsia="Arial" w:hAnsi="Arial" w:cs="Arial"/>
          <w:sz w:val="21"/>
          <w:szCs w:val="21"/>
          <w:lang w:val="pt-BR"/>
        </w:rPr>
        <w:t>a</w:t>
      </w:r>
      <w:r w:rsidR="00417666">
        <w:rPr>
          <w:rFonts w:ascii="Arial" w:eastAsia="Arial" w:hAnsi="Arial" w:cs="Arial"/>
          <w:sz w:val="21"/>
          <w:szCs w:val="21"/>
          <w:lang w:val="pt-BR"/>
        </w:rPr>
        <w:t>s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 processu</w:t>
      </w:r>
      <w:r w:rsidR="00417666">
        <w:rPr>
          <w:rFonts w:ascii="Arial" w:eastAsia="Arial" w:hAnsi="Arial" w:cs="Arial"/>
          <w:sz w:val="21"/>
          <w:szCs w:val="21"/>
          <w:lang w:val="pt-BR"/>
        </w:rPr>
        <w:t>ais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 </w:t>
      </w:r>
      <w:r w:rsidR="002C4691" w:rsidRPr="008C65D9">
        <w:rPr>
          <w:rFonts w:ascii="Arial" w:eastAsia="Arial" w:hAnsi="Arial" w:cs="Arial"/>
          <w:sz w:val="21"/>
          <w:szCs w:val="21"/>
          <w:lang w:val="pt-BR"/>
        </w:rPr>
        <w:t>da</w:t>
      </w:r>
      <w:r w:rsidR="00417666">
        <w:rPr>
          <w:rFonts w:ascii="Arial" w:eastAsia="Arial" w:hAnsi="Arial" w:cs="Arial"/>
          <w:sz w:val="21"/>
          <w:szCs w:val="21"/>
          <w:lang w:val="pt-BR"/>
        </w:rPr>
        <w:t>s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 categoria</w:t>
      </w:r>
      <w:r w:rsidR="00417666">
        <w:rPr>
          <w:rFonts w:ascii="Arial" w:eastAsia="Arial" w:hAnsi="Arial" w:cs="Arial"/>
          <w:sz w:val="21"/>
          <w:szCs w:val="21"/>
          <w:lang w:val="pt-BR"/>
        </w:rPr>
        <w:t>s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, nos termos do artigo 8º, III, da Constituição Federal, </w:t>
      </w:r>
      <w:r w:rsidR="003B371E">
        <w:rPr>
          <w:rFonts w:ascii="Arial" w:eastAsia="Arial" w:hAnsi="Arial" w:cs="Arial"/>
          <w:sz w:val="21"/>
          <w:szCs w:val="21"/>
          <w:lang w:val="pt-BR"/>
        </w:rPr>
        <w:t>contra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 </w:t>
      </w:r>
      <w:r w:rsidR="00A73AC1" w:rsidRPr="008C65D9">
        <w:rPr>
          <w:rFonts w:ascii="Arial" w:eastAsia="Arial" w:hAnsi="Arial" w:cs="Arial"/>
          <w:sz w:val="21"/>
          <w:szCs w:val="21"/>
          <w:lang w:val="pt-BR"/>
        </w:rPr>
        <w:t>ato da Empresa Brasileira de Serviços Hospitalares – EBSERH que</w:t>
      </w:r>
      <w:r w:rsidR="002C4691" w:rsidRPr="008C65D9">
        <w:rPr>
          <w:rFonts w:ascii="Arial" w:eastAsia="Arial" w:hAnsi="Arial" w:cs="Arial"/>
          <w:sz w:val="21"/>
          <w:szCs w:val="21"/>
          <w:lang w:val="pt-BR"/>
        </w:rPr>
        <w:t xml:space="preserve"> </w:t>
      </w:r>
      <w:r w:rsidR="00417666">
        <w:rPr>
          <w:rFonts w:ascii="Arial" w:eastAsia="Arial" w:hAnsi="Arial" w:cs="Arial"/>
          <w:sz w:val="21"/>
          <w:szCs w:val="21"/>
          <w:lang w:val="pt-BR"/>
        </w:rPr>
        <w:t>objetiva</w:t>
      </w:r>
      <w:r w:rsidR="002C4691" w:rsidRPr="008C65D9">
        <w:rPr>
          <w:rFonts w:ascii="Arial" w:eastAsia="Arial" w:hAnsi="Arial" w:cs="Arial"/>
          <w:sz w:val="21"/>
          <w:szCs w:val="21"/>
          <w:lang w:val="pt-BR"/>
        </w:rPr>
        <w:t xml:space="preserve"> a</w:t>
      </w:r>
      <w:r w:rsidR="00A73AC1" w:rsidRPr="008C65D9">
        <w:rPr>
          <w:rFonts w:ascii="Arial" w:eastAsia="Arial" w:hAnsi="Arial" w:cs="Arial"/>
          <w:sz w:val="21"/>
          <w:szCs w:val="21"/>
          <w:lang w:val="pt-BR"/>
        </w:rPr>
        <w:t xml:space="preserve"> promove</w:t>
      </w:r>
      <w:r w:rsidR="002C4691" w:rsidRPr="008C65D9">
        <w:rPr>
          <w:rFonts w:ascii="Arial" w:eastAsia="Arial" w:hAnsi="Arial" w:cs="Arial"/>
          <w:sz w:val="21"/>
          <w:szCs w:val="21"/>
          <w:lang w:val="pt-BR"/>
        </w:rPr>
        <w:t>r</w:t>
      </w:r>
      <w:r w:rsidR="00A73AC1" w:rsidRPr="008C65D9">
        <w:rPr>
          <w:rFonts w:ascii="Arial" w:eastAsia="Arial" w:hAnsi="Arial" w:cs="Arial"/>
          <w:sz w:val="21"/>
          <w:szCs w:val="21"/>
          <w:lang w:val="pt-BR"/>
        </w:rPr>
        <w:t xml:space="preserve"> a dispensa ilegal dos </w:t>
      </w:r>
      <w:r w:rsidR="002C4691" w:rsidRPr="008C65D9">
        <w:rPr>
          <w:rFonts w:ascii="Arial" w:eastAsia="Arial" w:hAnsi="Arial" w:cs="Arial"/>
          <w:sz w:val="21"/>
          <w:szCs w:val="21"/>
          <w:lang w:val="pt-BR"/>
        </w:rPr>
        <w:t>trabalhadores elencados</w:t>
      </w:r>
      <w:r w:rsidR="00A73AC1" w:rsidRPr="008C65D9">
        <w:rPr>
          <w:rFonts w:ascii="Arial" w:eastAsia="Arial" w:hAnsi="Arial" w:cs="Arial"/>
          <w:sz w:val="21"/>
          <w:szCs w:val="21"/>
          <w:lang w:val="pt-BR"/>
        </w:rPr>
        <w:t xml:space="preserve"> </w:t>
      </w:r>
      <w:r w:rsidR="002C4691" w:rsidRPr="008C65D9">
        <w:rPr>
          <w:rFonts w:ascii="Arial" w:eastAsia="Arial" w:hAnsi="Arial" w:cs="Arial"/>
          <w:sz w:val="21"/>
          <w:szCs w:val="21"/>
          <w:lang w:val="pt-BR"/>
        </w:rPr>
        <w:t xml:space="preserve">no Ofício Circular - SEI nº 5/2023/DGP-EBSERH, </w:t>
      </w:r>
      <w:r w:rsidR="00A73AC1" w:rsidRPr="008C65D9">
        <w:rPr>
          <w:rFonts w:ascii="Arial" w:eastAsia="Arial" w:hAnsi="Arial" w:cs="Arial"/>
          <w:sz w:val="21"/>
          <w:szCs w:val="21"/>
          <w:lang w:val="pt-BR"/>
        </w:rPr>
        <w:t xml:space="preserve">sob a premissa </w:t>
      </w:r>
      <w:r w:rsidR="002C4691" w:rsidRPr="008C65D9">
        <w:rPr>
          <w:rFonts w:ascii="Arial" w:eastAsia="Arial" w:hAnsi="Arial" w:cs="Arial"/>
          <w:sz w:val="21"/>
          <w:szCs w:val="21"/>
          <w:lang w:val="pt-BR"/>
        </w:rPr>
        <w:t>da acumulação</w:t>
      </w:r>
      <w:r w:rsidR="00A73AC1" w:rsidRPr="008C65D9">
        <w:rPr>
          <w:rFonts w:ascii="Arial" w:eastAsia="Arial" w:hAnsi="Arial" w:cs="Arial"/>
          <w:sz w:val="21"/>
          <w:szCs w:val="21"/>
          <w:lang w:val="pt-BR"/>
        </w:rPr>
        <w:t xml:space="preserve"> ilegal</w:t>
      </w:r>
      <w:r w:rsidR="002C4691" w:rsidRPr="008C65D9">
        <w:rPr>
          <w:rFonts w:ascii="Arial" w:eastAsia="Arial" w:hAnsi="Arial" w:cs="Arial"/>
          <w:sz w:val="21"/>
          <w:szCs w:val="21"/>
          <w:lang w:val="pt-BR"/>
        </w:rPr>
        <w:t xml:space="preserve"> de</w:t>
      </w:r>
      <w:r w:rsidR="00A73AC1" w:rsidRPr="008C65D9">
        <w:rPr>
          <w:rFonts w:ascii="Arial" w:eastAsia="Arial" w:hAnsi="Arial" w:cs="Arial"/>
          <w:sz w:val="21"/>
          <w:szCs w:val="21"/>
          <w:lang w:val="pt-BR"/>
        </w:rPr>
        <w:t xml:space="preserve"> cargos públicos.</w:t>
      </w:r>
    </w:p>
    <w:p w:rsidR="002E5D27" w:rsidRPr="008C65D9" w:rsidRDefault="002C4691" w:rsidP="007E4D16">
      <w:pPr>
        <w:spacing w:before="240" w:after="567" w:line="360" w:lineRule="atLeast"/>
        <w:ind w:firstLine="2268"/>
        <w:jc w:val="both"/>
        <w:rPr>
          <w:rFonts w:ascii="Arial" w:hAnsi="Arial" w:cs="Arial"/>
          <w:sz w:val="21"/>
          <w:szCs w:val="21"/>
          <w:lang w:val="pt-BR"/>
        </w:rPr>
      </w:pP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Estão abrangidos por esta ação, todos </w:t>
      </w:r>
      <w:r w:rsidR="00C024EE" w:rsidRPr="008C65D9">
        <w:rPr>
          <w:rFonts w:ascii="Arial" w:eastAsia="Arial" w:hAnsi="Arial" w:cs="Arial"/>
          <w:sz w:val="21"/>
          <w:szCs w:val="21"/>
          <w:lang w:val="pt-BR"/>
        </w:rPr>
        <w:t>os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 trabalhadores que estão ou estiveram lotados em unidades d</w:t>
      </w:r>
      <w:r w:rsidR="00A73AC1" w:rsidRPr="008C65D9">
        <w:rPr>
          <w:rFonts w:ascii="Arial" w:eastAsia="Arial" w:hAnsi="Arial" w:cs="Arial"/>
          <w:sz w:val="21"/>
          <w:szCs w:val="21"/>
          <w:lang w:val="pt-BR"/>
        </w:rPr>
        <w:t>a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 ré em qualquer uma das cidades indicadas no estatuto </w:t>
      </w:r>
      <w:proofErr w:type="gramStart"/>
      <w:r w:rsidRPr="008C65D9">
        <w:rPr>
          <w:rFonts w:ascii="Arial" w:eastAsia="Arial" w:hAnsi="Arial" w:cs="Arial"/>
          <w:sz w:val="21"/>
          <w:szCs w:val="21"/>
          <w:lang w:val="pt-BR"/>
        </w:rPr>
        <w:t>d</w:t>
      </w:r>
      <w:r w:rsidR="00417666">
        <w:rPr>
          <w:rFonts w:ascii="Arial" w:eastAsia="Arial" w:hAnsi="Arial" w:cs="Arial"/>
          <w:sz w:val="21"/>
          <w:szCs w:val="21"/>
          <w:lang w:val="pt-BR"/>
        </w:rPr>
        <w:t>as entidade</w:t>
      </w:r>
      <w:proofErr w:type="gramEnd"/>
      <w:r w:rsidR="00417666">
        <w:rPr>
          <w:rFonts w:ascii="Arial" w:eastAsia="Arial" w:hAnsi="Arial" w:cs="Arial"/>
          <w:sz w:val="21"/>
          <w:szCs w:val="21"/>
          <w:lang w:val="pt-BR"/>
        </w:rPr>
        <w:t xml:space="preserve"> sindicais </w:t>
      </w:r>
      <w:r w:rsidRPr="008C65D9">
        <w:rPr>
          <w:rFonts w:ascii="Arial" w:eastAsia="Arial" w:hAnsi="Arial" w:cs="Arial"/>
          <w:sz w:val="21"/>
          <w:szCs w:val="21"/>
          <w:lang w:val="pt-BR"/>
        </w:rPr>
        <w:t>reclamante</w:t>
      </w:r>
      <w:r w:rsidR="00417666">
        <w:rPr>
          <w:rFonts w:ascii="Arial" w:eastAsia="Arial" w:hAnsi="Arial" w:cs="Arial"/>
          <w:sz w:val="21"/>
          <w:szCs w:val="21"/>
          <w:lang w:val="pt-BR"/>
        </w:rPr>
        <w:t>s</w:t>
      </w:r>
      <w:r w:rsidRPr="008C65D9">
        <w:rPr>
          <w:rFonts w:ascii="Arial" w:eastAsia="Arial" w:hAnsi="Arial" w:cs="Arial"/>
          <w:sz w:val="21"/>
          <w:szCs w:val="21"/>
          <w:lang w:val="pt-BR"/>
        </w:rPr>
        <w:t>.</w:t>
      </w:r>
    </w:p>
    <w:p w:rsidR="002E5D27" w:rsidRPr="008C65D9" w:rsidRDefault="005E3923">
      <w:pPr>
        <w:spacing w:before="240" w:after="567" w:line="360" w:lineRule="atLeast"/>
        <w:jc w:val="both"/>
        <w:rPr>
          <w:rFonts w:ascii="Arial" w:hAnsi="Arial" w:cs="Arial"/>
          <w:sz w:val="21"/>
          <w:szCs w:val="21"/>
          <w:lang w:val="pt-BR"/>
        </w:rPr>
      </w:pPr>
      <w:r w:rsidRPr="008C65D9">
        <w:rPr>
          <w:rFonts w:ascii="Arial" w:eastAsia="Arial" w:hAnsi="Arial" w:cs="Arial"/>
          <w:b/>
          <w:bCs/>
          <w:sz w:val="21"/>
          <w:szCs w:val="21"/>
          <w:lang w:val="pt-BR"/>
        </w:rPr>
        <w:t>2 </w:t>
      </w:r>
      <w:r w:rsidR="00A73AC1" w:rsidRPr="008C65D9">
        <w:rPr>
          <w:rFonts w:ascii="Arial" w:eastAsia="Arial" w:hAnsi="Arial" w:cs="Arial"/>
          <w:b/>
          <w:bCs/>
          <w:sz w:val="21"/>
          <w:szCs w:val="21"/>
          <w:lang w:val="pt-BR"/>
        </w:rPr>
        <w:t>DA ACUMULAÇÃO DE CARGOS PÚBLICOS</w:t>
      </w:r>
      <w:r w:rsidR="005657D5" w:rsidRPr="008C65D9">
        <w:rPr>
          <w:rFonts w:ascii="Arial" w:eastAsia="Arial" w:hAnsi="Arial" w:cs="Arial"/>
          <w:b/>
          <w:bCs/>
          <w:sz w:val="21"/>
          <w:szCs w:val="21"/>
          <w:lang w:val="pt-BR"/>
        </w:rPr>
        <w:t xml:space="preserve"> </w:t>
      </w:r>
    </w:p>
    <w:p w:rsidR="007E4D16" w:rsidRPr="008C65D9" w:rsidRDefault="007E4D16" w:rsidP="00000AB9">
      <w:pPr>
        <w:spacing w:before="240" w:after="567" w:line="360" w:lineRule="atLeast"/>
        <w:ind w:firstLine="2268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8C65D9">
        <w:rPr>
          <w:rFonts w:ascii="Arial" w:eastAsia="Arial" w:hAnsi="Arial" w:cs="Arial"/>
          <w:sz w:val="21"/>
          <w:szCs w:val="21"/>
          <w:lang w:val="pt-BR"/>
        </w:rPr>
        <w:t>Em dezembro de 2023, a EBSERH apresentou</w:t>
      </w:r>
      <w:r w:rsidR="003B371E">
        <w:rPr>
          <w:rFonts w:ascii="Arial" w:eastAsia="Arial" w:hAnsi="Arial" w:cs="Arial"/>
          <w:sz w:val="21"/>
          <w:szCs w:val="21"/>
          <w:lang w:val="pt-BR"/>
        </w:rPr>
        <w:t xml:space="preserve"> </w:t>
      </w:r>
      <w:r w:rsidR="003B371E" w:rsidRPr="008C65D9">
        <w:rPr>
          <w:rFonts w:ascii="Arial" w:eastAsia="Arial" w:hAnsi="Arial" w:cs="Arial"/>
          <w:sz w:val="21"/>
          <w:szCs w:val="21"/>
          <w:lang w:val="pt-BR"/>
        </w:rPr>
        <w:t>Ofício Circular - SEI nº 5/2023/DGP-EBSERH (DOC. ANEXO)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 </w:t>
      </w:r>
      <w:r w:rsidR="003B371E">
        <w:rPr>
          <w:rFonts w:ascii="Arial" w:eastAsia="Arial" w:hAnsi="Arial" w:cs="Arial"/>
          <w:sz w:val="21"/>
          <w:szCs w:val="21"/>
          <w:lang w:val="pt-BR"/>
        </w:rPr>
        <w:t>contendo</w:t>
      </w:r>
      <w:r w:rsidR="00000AB9" w:rsidRPr="008C65D9">
        <w:rPr>
          <w:rFonts w:ascii="Arial" w:eastAsia="Arial" w:hAnsi="Arial" w:cs="Arial"/>
          <w:sz w:val="21"/>
          <w:szCs w:val="21"/>
          <w:lang w:val="pt-BR"/>
        </w:rPr>
        <w:t xml:space="preserve"> listagem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 das profissões de saúde elencadas em seu Plano de Cargos e </w:t>
      </w:r>
      <w:r w:rsidR="003B371E" w:rsidRPr="008C65D9">
        <w:rPr>
          <w:rFonts w:ascii="Arial" w:eastAsia="Arial" w:hAnsi="Arial" w:cs="Arial"/>
          <w:sz w:val="21"/>
          <w:szCs w:val="21"/>
          <w:lang w:val="pt-BR"/>
        </w:rPr>
        <w:t>Carreiras</w:t>
      </w:r>
      <w:r w:rsidR="003B371E">
        <w:rPr>
          <w:rFonts w:ascii="Arial" w:eastAsia="Arial" w:hAnsi="Arial" w:cs="Arial"/>
          <w:sz w:val="21"/>
          <w:szCs w:val="21"/>
          <w:lang w:val="pt-BR"/>
        </w:rPr>
        <w:t xml:space="preserve"> </w:t>
      </w:r>
      <w:r w:rsidR="003B371E" w:rsidRPr="008C65D9">
        <w:rPr>
          <w:rFonts w:ascii="Arial" w:eastAsia="Arial" w:hAnsi="Arial" w:cs="Arial"/>
          <w:sz w:val="21"/>
          <w:szCs w:val="21"/>
          <w:lang w:val="pt-BR"/>
        </w:rPr>
        <w:t>que</w:t>
      </w:r>
      <w:r w:rsidR="00000AB9" w:rsidRPr="008C65D9">
        <w:rPr>
          <w:rFonts w:ascii="Arial" w:eastAsia="Arial" w:hAnsi="Arial" w:cs="Arial"/>
          <w:sz w:val="21"/>
          <w:szCs w:val="21"/>
          <w:lang w:val="pt-BR"/>
        </w:rPr>
        <w:t>, segundo interpretação própria, não estariam regulamentadas à luz do art. 37, inciso XVI, alínea “c’ da Constituição Federal de 1988.</w:t>
      </w:r>
      <w:r w:rsidR="002C4691" w:rsidRPr="008C65D9">
        <w:rPr>
          <w:rFonts w:ascii="Arial" w:eastAsia="Arial" w:hAnsi="Arial" w:cs="Arial"/>
          <w:sz w:val="21"/>
          <w:szCs w:val="21"/>
          <w:lang w:val="pt-BR"/>
        </w:rPr>
        <w:t xml:space="preserve"> Vejamos:</w:t>
      </w:r>
    </w:p>
    <w:p w:rsidR="002C4691" w:rsidRPr="008C65D9" w:rsidRDefault="002C4691" w:rsidP="002C4691">
      <w:pPr>
        <w:numPr>
          <w:ilvl w:val="0"/>
          <w:numId w:val="1"/>
        </w:numPr>
        <w:spacing w:before="100" w:beforeAutospacing="1" w:after="100" w:afterAutospacing="1" w:line="360" w:lineRule="atLeast"/>
        <w:contextualSpacing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Tecnólogo em Radiologia </w:t>
      </w:r>
    </w:p>
    <w:p w:rsidR="002C4691" w:rsidRPr="008C65D9" w:rsidRDefault="002C4691" w:rsidP="002C4691">
      <w:pPr>
        <w:numPr>
          <w:ilvl w:val="0"/>
          <w:numId w:val="1"/>
        </w:numPr>
        <w:spacing w:before="100" w:beforeAutospacing="1" w:after="100" w:afterAutospacing="1" w:line="360" w:lineRule="atLeast"/>
        <w:contextualSpacing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Terapeuta Ocupacional </w:t>
      </w:r>
    </w:p>
    <w:p w:rsidR="002C4691" w:rsidRPr="008C65D9" w:rsidRDefault="002C4691" w:rsidP="002C4691">
      <w:pPr>
        <w:numPr>
          <w:ilvl w:val="0"/>
          <w:numId w:val="1"/>
        </w:numPr>
        <w:spacing w:before="100" w:beforeAutospacing="1" w:after="100" w:afterAutospacing="1" w:line="360" w:lineRule="atLeast"/>
        <w:contextualSpacing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8C65D9">
        <w:rPr>
          <w:rFonts w:ascii="Arial" w:eastAsia="Arial" w:hAnsi="Arial" w:cs="Arial"/>
          <w:sz w:val="21"/>
          <w:szCs w:val="21"/>
          <w:lang w:val="pt-BR"/>
        </w:rPr>
        <w:t>Técnico em Análises Clínicas</w:t>
      </w:r>
    </w:p>
    <w:p w:rsidR="002C4691" w:rsidRPr="008C65D9" w:rsidRDefault="002C4691" w:rsidP="002C4691">
      <w:pPr>
        <w:numPr>
          <w:ilvl w:val="0"/>
          <w:numId w:val="1"/>
        </w:numPr>
        <w:spacing w:before="100" w:beforeAutospacing="1" w:after="100" w:afterAutospacing="1" w:line="360" w:lineRule="atLeast"/>
        <w:contextualSpacing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8C65D9">
        <w:rPr>
          <w:rFonts w:ascii="Arial" w:eastAsia="Arial" w:hAnsi="Arial" w:cs="Arial"/>
          <w:sz w:val="21"/>
          <w:szCs w:val="21"/>
          <w:lang w:val="pt-BR"/>
        </w:rPr>
        <w:t>Técnico em Farmácia</w:t>
      </w:r>
    </w:p>
    <w:p w:rsidR="002C4691" w:rsidRPr="008C65D9" w:rsidRDefault="002C4691" w:rsidP="002C4691">
      <w:pPr>
        <w:numPr>
          <w:ilvl w:val="0"/>
          <w:numId w:val="1"/>
        </w:numPr>
        <w:spacing w:before="100" w:beforeAutospacing="1" w:after="100" w:afterAutospacing="1" w:line="360" w:lineRule="atLeast"/>
        <w:contextualSpacing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Técnico em Histologia </w:t>
      </w:r>
    </w:p>
    <w:p w:rsidR="002C4691" w:rsidRPr="008C65D9" w:rsidRDefault="002C4691" w:rsidP="002C4691">
      <w:pPr>
        <w:numPr>
          <w:ilvl w:val="0"/>
          <w:numId w:val="1"/>
        </w:numPr>
        <w:spacing w:before="100" w:beforeAutospacing="1" w:after="100" w:afterAutospacing="1" w:line="360" w:lineRule="atLeast"/>
        <w:contextualSpacing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8C65D9">
        <w:rPr>
          <w:rFonts w:ascii="Arial" w:eastAsia="Arial" w:hAnsi="Arial" w:cs="Arial"/>
          <w:sz w:val="21"/>
          <w:szCs w:val="21"/>
          <w:lang w:val="pt-BR"/>
        </w:rPr>
        <w:t>Técnico em Necropsia</w:t>
      </w:r>
    </w:p>
    <w:p w:rsidR="002C4691" w:rsidRPr="008C65D9" w:rsidRDefault="002C4691" w:rsidP="002C4691">
      <w:pPr>
        <w:numPr>
          <w:ilvl w:val="0"/>
          <w:numId w:val="1"/>
        </w:numPr>
        <w:spacing w:before="100" w:beforeAutospacing="1" w:after="100" w:afterAutospacing="1" w:line="360" w:lineRule="atLeast"/>
        <w:contextualSpacing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8C65D9">
        <w:rPr>
          <w:rFonts w:ascii="Arial" w:eastAsia="Arial" w:hAnsi="Arial" w:cs="Arial"/>
          <w:sz w:val="21"/>
          <w:szCs w:val="21"/>
          <w:lang w:val="pt-BR"/>
        </w:rPr>
        <w:t>Técnico em Óptica</w:t>
      </w:r>
    </w:p>
    <w:p w:rsidR="002C4691" w:rsidRDefault="002C4691" w:rsidP="002C4691">
      <w:pPr>
        <w:spacing w:before="100" w:beforeAutospacing="1" w:after="100" w:afterAutospacing="1" w:line="360" w:lineRule="atLeast"/>
        <w:ind w:left="2988"/>
        <w:contextualSpacing/>
        <w:jc w:val="both"/>
        <w:rPr>
          <w:rFonts w:ascii="Arial" w:eastAsia="Arial" w:hAnsi="Arial" w:cs="Arial"/>
          <w:sz w:val="21"/>
          <w:szCs w:val="21"/>
          <w:lang w:val="pt-BR"/>
        </w:rPr>
      </w:pPr>
    </w:p>
    <w:p w:rsidR="003B371E" w:rsidRPr="008C65D9" w:rsidRDefault="003B371E" w:rsidP="003B371E">
      <w:pPr>
        <w:spacing w:before="240" w:after="567" w:line="360" w:lineRule="atLeast"/>
        <w:ind w:firstLine="2268"/>
        <w:jc w:val="both"/>
        <w:rPr>
          <w:rFonts w:ascii="Arial" w:eastAsia="Arial" w:hAnsi="Arial" w:cs="Arial"/>
          <w:sz w:val="21"/>
          <w:szCs w:val="21"/>
          <w:lang w:val="pt-BR"/>
        </w:rPr>
      </w:pPr>
      <w:r>
        <w:rPr>
          <w:rFonts w:ascii="Arial" w:eastAsia="Arial" w:hAnsi="Arial" w:cs="Arial"/>
          <w:sz w:val="21"/>
          <w:szCs w:val="21"/>
          <w:lang w:val="pt-BR"/>
        </w:rPr>
        <w:t xml:space="preserve">Consta </w:t>
      </w:r>
      <w:r w:rsidR="00950B6B">
        <w:rPr>
          <w:rFonts w:ascii="Arial" w:eastAsia="Arial" w:hAnsi="Arial" w:cs="Arial"/>
          <w:sz w:val="21"/>
          <w:szCs w:val="21"/>
          <w:lang w:val="pt-BR"/>
        </w:rPr>
        <w:t xml:space="preserve">também </w:t>
      </w:r>
      <w:r>
        <w:rPr>
          <w:rFonts w:ascii="Arial" w:eastAsia="Arial" w:hAnsi="Arial" w:cs="Arial"/>
          <w:sz w:val="21"/>
          <w:szCs w:val="21"/>
          <w:lang w:val="pt-BR"/>
        </w:rPr>
        <w:t>no referido ofício</w:t>
      </w:r>
      <w:r w:rsidR="007B4E0E">
        <w:rPr>
          <w:rFonts w:ascii="Arial" w:eastAsia="Arial" w:hAnsi="Arial" w:cs="Arial"/>
          <w:sz w:val="21"/>
          <w:szCs w:val="21"/>
          <w:lang w:val="pt-BR"/>
        </w:rPr>
        <w:t>,</w:t>
      </w:r>
      <w:r>
        <w:rPr>
          <w:rFonts w:ascii="Arial" w:eastAsia="Arial" w:hAnsi="Arial" w:cs="Arial"/>
          <w:sz w:val="21"/>
          <w:szCs w:val="21"/>
          <w:lang w:val="pt-BR"/>
        </w:rPr>
        <w:t xml:space="preserve"> </w:t>
      </w:r>
      <w:r w:rsidR="00950B6B">
        <w:rPr>
          <w:rFonts w:ascii="Arial" w:eastAsia="Arial" w:hAnsi="Arial" w:cs="Arial"/>
          <w:sz w:val="21"/>
          <w:szCs w:val="21"/>
          <w:lang w:val="pt-BR"/>
        </w:rPr>
        <w:t>o conceito</w:t>
      </w:r>
      <w:r>
        <w:rPr>
          <w:rFonts w:ascii="Arial" w:eastAsia="Arial" w:hAnsi="Arial" w:cs="Arial"/>
          <w:sz w:val="21"/>
          <w:szCs w:val="21"/>
          <w:lang w:val="pt-BR"/>
        </w:rPr>
        <w:t xml:space="preserve"> de profissões </w:t>
      </w:r>
      <w:r w:rsidR="00950B6B">
        <w:rPr>
          <w:rFonts w:ascii="Arial" w:eastAsia="Arial" w:hAnsi="Arial" w:cs="Arial"/>
          <w:sz w:val="21"/>
          <w:szCs w:val="21"/>
          <w:lang w:val="pt-BR"/>
        </w:rPr>
        <w:t>regulamentadas para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 </w:t>
      </w:r>
      <w:r>
        <w:rPr>
          <w:rFonts w:ascii="Arial" w:eastAsia="Arial" w:hAnsi="Arial" w:cs="Arial"/>
          <w:sz w:val="21"/>
          <w:szCs w:val="21"/>
          <w:lang w:val="pt-BR"/>
        </w:rPr>
        <w:t>fins de acumulação legal de cargos públicos</w:t>
      </w:r>
      <w:r w:rsidR="00950B6B">
        <w:rPr>
          <w:rFonts w:ascii="Arial" w:eastAsia="Arial" w:hAnsi="Arial" w:cs="Arial"/>
          <w:sz w:val="21"/>
          <w:szCs w:val="21"/>
          <w:lang w:val="pt-BR"/>
        </w:rPr>
        <w:t xml:space="preserve">, segundo a perspectiva interpretativa da própria </w:t>
      </w:r>
      <w:r w:rsidR="00950B6B">
        <w:rPr>
          <w:rFonts w:ascii="Arial" w:eastAsia="Arial" w:hAnsi="Arial" w:cs="Arial"/>
          <w:sz w:val="21"/>
          <w:szCs w:val="21"/>
          <w:lang w:val="pt-BR"/>
        </w:rPr>
        <w:lastRenderedPageBreak/>
        <w:t>empresa</w:t>
      </w:r>
      <w:r w:rsidR="007B4E0E">
        <w:rPr>
          <w:rFonts w:ascii="Arial" w:eastAsia="Arial" w:hAnsi="Arial" w:cs="Arial"/>
          <w:sz w:val="21"/>
          <w:szCs w:val="21"/>
          <w:lang w:val="pt-BR"/>
        </w:rPr>
        <w:t>:</w:t>
      </w:r>
      <w:r>
        <w:rPr>
          <w:rFonts w:ascii="Arial" w:eastAsia="Arial" w:hAnsi="Arial" w:cs="Arial"/>
          <w:sz w:val="21"/>
          <w:szCs w:val="21"/>
          <w:lang w:val="pt-BR"/>
        </w:rPr>
        <w:t xml:space="preserve"> 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são “profissões regulamentadas aquela regidas por legislação própria, </w:t>
      </w:r>
      <w:r w:rsidRPr="00950B6B">
        <w:rPr>
          <w:rFonts w:ascii="Arial" w:eastAsia="Arial" w:hAnsi="Arial" w:cs="Arial"/>
          <w:b/>
          <w:bCs/>
          <w:sz w:val="21"/>
          <w:szCs w:val="21"/>
          <w:lang w:val="pt-BR"/>
        </w:rPr>
        <w:t>no sentido estrito e formal</w:t>
      </w:r>
      <w:r w:rsidRPr="008C65D9">
        <w:rPr>
          <w:rFonts w:ascii="Arial" w:eastAsia="Arial" w:hAnsi="Arial" w:cs="Arial"/>
          <w:sz w:val="21"/>
          <w:szCs w:val="21"/>
          <w:lang w:val="pt-BR"/>
        </w:rPr>
        <w:t>, que disponham sobre deveres e garantias da profissão, formação, competências, habilidades e/ou área de atuação.”</w:t>
      </w:r>
    </w:p>
    <w:p w:rsidR="002C4691" w:rsidRPr="008C65D9" w:rsidRDefault="003B371E" w:rsidP="002C4691">
      <w:pPr>
        <w:spacing w:before="100" w:beforeAutospacing="1" w:after="100" w:afterAutospacing="1" w:line="360" w:lineRule="atLeast"/>
        <w:ind w:firstLine="2268"/>
        <w:contextualSpacing/>
        <w:jc w:val="both"/>
        <w:rPr>
          <w:rFonts w:ascii="Arial" w:eastAsia="Arial" w:hAnsi="Arial" w:cs="Arial"/>
          <w:sz w:val="21"/>
          <w:szCs w:val="21"/>
          <w:lang w:val="pt-BR"/>
        </w:rPr>
      </w:pPr>
      <w:r>
        <w:rPr>
          <w:rFonts w:ascii="Arial" w:eastAsia="Arial" w:hAnsi="Arial" w:cs="Arial"/>
          <w:sz w:val="21"/>
          <w:szCs w:val="21"/>
          <w:lang w:val="pt-BR"/>
        </w:rPr>
        <w:t>Todavia</w:t>
      </w:r>
      <w:r w:rsidR="002C4691" w:rsidRPr="008C65D9">
        <w:rPr>
          <w:rFonts w:ascii="Arial" w:eastAsia="Arial" w:hAnsi="Arial" w:cs="Arial"/>
          <w:sz w:val="21"/>
          <w:szCs w:val="21"/>
          <w:lang w:val="pt-BR"/>
        </w:rPr>
        <w:t xml:space="preserve">, </w:t>
      </w:r>
      <w:r>
        <w:rPr>
          <w:rFonts w:ascii="Arial" w:eastAsia="Arial" w:hAnsi="Arial" w:cs="Arial"/>
          <w:sz w:val="21"/>
          <w:szCs w:val="21"/>
          <w:lang w:val="pt-BR"/>
        </w:rPr>
        <w:t>o</w:t>
      </w:r>
      <w:r w:rsidRPr="003B371E">
        <w:rPr>
          <w:rFonts w:ascii="Arial" w:eastAsia="Arial" w:hAnsi="Arial" w:cs="Arial"/>
          <w:sz w:val="21"/>
          <w:szCs w:val="21"/>
          <w:lang w:val="pt-BR"/>
        </w:rPr>
        <w:t xml:space="preserve"> </w:t>
      </w:r>
      <w:r w:rsidRPr="008C65D9">
        <w:rPr>
          <w:rFonts w:ascii="Arial" w:eastAsia="Arial" w:hAnsi="Arial" w:cs="Arial"/>
          <w:sz w:val="21"/>
          <w:szCs w:val="21"/>
          <w:lang w:val="pt-BR"/>
        </w:rPr>
        <w:t>art. 37, inciso XVI, alínea “c’ da Constituição Federal de 1988</w:t>
      </w:r>
      <w:r>
        <w:rPr>
          <w:rFonts w:ascii="Arial" w:eastAsia="Arial" w:hAnsi="Arial" w:cs="Arial"/>
          <w:sz w:val="21"/>
          <w:szCs w:val="21"/>
          <w:lang w:val="pt-BR"/>
        </w:rPr>
        <w:t xml:space="preserve"> </w:t>
      </w:r>
      <w:r w:rsidR="002C4691" w:rsidRPr="008C65D9">
        <w:rPr>
          <w:rFonts w:ascii="Arial" w:eastAsia="Arial" w:hAnsi="Arial" w:cs="Arial"/>
          <w:sz w:val="21"/>
          <w:szCs w:val="21"/>
          <w:lang w:val="pt-BR"/>
        </w:rPr>
        <w:t>estabelece parâmetros</w:t>
      </w:r>
      <w:r>
        <w:rPr>
          <w:rFonts w:ascii="Arial" w:eastAsia="Arial" w:hAnsi="Arial" w:cs="Arial"/>
          <w:sz w:val="21"/>
          <w:szCs w:val="21"/>
          <w:lang w:val="pt-BR"/>
        </w:rPr>
        <w:t xml:space="preserve"> claros</w:t>
      </w:r>
      <w:r w:rsidR="002C4691" w:rsidRPr="008C65D9">
        <w:rPr>
          <w:rFonts w:ascii="Arial" w:eastAsia="Arial" w:hAnsi="Arial" w:cs="Arial"/>
          <w:sz w:val="21"/>
          <w:szCs w:val="21"/>
          <w:lang w:val="pt-BR"/>
        </w:rPr>
        <w:t xml:space="preserve"> para a acumulação legal de cargo públicos, </w:t>
      </w:r>
      <w:r>
        <w:rPr>
          <w:rFonts w:ascii="Arial" w:eastAsia="Arial" w:hAnsi="Arial" w:cs="Arial"/>
          <w:sz w:val="21"/>
          <w:szCs w:val="21"/>
          <w:lang w:val="pt-BR"/>
        </w:rPr>
        <w:t>isto é</w:t>
      </w:r>
      <w:r w:rsidR="002C4691" w:rsidRPr="008C65D9">
        <w:rPr>
          <w:rFonts w:ascii="Arial" w:eastAsia="Arial" w:hAnsi="Arial" w:cs="Arial"/>
          <w:sz w:val="21"/>
          <w:szCs w:val="21"/>
          <w:lang w:val="pt-BR"/>
        </w:rPr>
        <w:t>,</w:t>
      </w:r>
      <w:r w:rsidR="009E2A73" w:rsidRPr="008C65D9">
        <w:rPr>
          <w:rFonts w:ascii="Arial" w:eastAsia="Arial" w:hAnsi="Arial" w:cs="Arial"/>
          <w:sz w:val="21"/>
          <w:szCs w:val="21"/>
          <w:lang w:val="pt-BR"/>
        </w:rPr>
        <w:t xml:space="preserve"> de que </w:t>
      </w:r>
      <w:r w:rsidR="002C4691" w:rsidRPr="008C65D9">
        <w:rPr>
          <w:rFonts w:ascii="Arial" w:eastAsia="Arial" w:hAnsi="Arial" w:cs="Arial"/>
          <w:sz w:val="21"/>
          <w:szCs w:val="21"/>
          <w:lang w:val="pt-BR"/>
        </w:rPr>
        <w:t>as profissões devem ser regulamentadas e</w:t>
      </w:r>
      <w:r w:rsidR="007B4E0E">
        <w:rPr>
          <w:rFonts w:ascii="Arial" w:eastAsia="Arial" w:hAnsi="Arial" w:cs="Arial"/>
          <w:sz w:val="21"/>
          <w:szCs w:val="21"/>
          <w:lang w:val="pt-BR"/>
        </w:rPr>
        <w:t xml:space="preserve"> que</w:t>
      </w:r>
      <w:r>
        <w:rPr>
          <w:rFonts w:ascii="Arial" w:eastAsia="Arial" w:hAnsi="Arial" w:cs="Arial"/>
          <w:sz w:val="21"/>
          <w:szCs w:val="21"/>
          <w:lang w:val="pt-BR"/>
        </w:rPr>
        <w:t xml:space="preserve"> </w:t>
      </w:r>
      <w:r w:rsidR="002C4691" w:rsidRPr="008C65D9">
        <w:rPr>
          <w:rFonts w:ascii="Arial" w:eastAsia="Arial" w:hAnsi="Arial" w:cs="Arial"/>
          <w:sz w:val="21"/>
          <w:szCs w:val="21"/>
          <w:lang w:val="pt-BR"/>
        </w:rPr>
        <w:t>deve haver compatibilidade de horários. Vejamos:</w:t>
      </w:r>
    </w:p>
    <w:p w:rsidR="002C4691" w:rsidRPr="008C65D9" w:rsidRDefault="002C4691" w:rsidP="002C4691">
      <w:pPr>
        <w:spacing w:before="100" w:beforeAutospacing="1" w:after="100" w:afterAutospacing="1" w:line="360" w:lineRule="atLeast"/>
        <w:ind w:firstLine="2268"/>
        <w:contextualSpacing/>
        <w:jc w:val="both"/>
        <w:rPr>
          <w:rFonts w:ascii="Arial" w:eastAsia="Arial" w:hAnsi="Arial" w:cs="Arial"/>
          <w:sz w:val="21"/>
          <w:szCs w:val="21"/>
          <w:lang w:val="pt-BR"/>
        </w:rPr>
      </w:pPr>
    </w:p>
    <w:p w:rsidR="00C024EE" w:rsidRPr="007E6356" w:rsidRDefault="00C024EE" w:rsidP="00C024EE">
      <w:pPr>
        <w:spacing w:before="100" w:beforeAutospacing="1" w:after="100" w:afterAutospacing="1"/>
        <w:ind w:left="2268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</w:pPr>
      <w:r w:rsidRPr="007E6356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Art. 37. A administração pública direta e indireta de qualquer dos Poderes da União, dos Estados, do Distrito Federal e dos Municípios obedecerá aos princípios de legalidade, impessoalidade, moralidade, publicidade e eficiência e, também, ao seguinte:   </w:t>
      </w:r>
    </w:p>
    <w:p w:rsidR="00C024EE" w:rsidRPr="007E6356" w:rsidRDefault="00C024EE" w:rsidP="00C024EE">
      <w:pPr>
        <w:spacing w:before="100" w:beforeAutospacing="1" w:after="100" w:afterAutospacing="1"/>
        <w:ind w:left="2268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</w:pPr>
      <w:r w:rsidRPr="007E6356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XVI - é vedada a acumulação remunerada de cargos públicos, exceto, quando houver </w:t>
      </w:r>
      <w:r w:rsidRPr="007E635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pt-BR"/>
        </w:rPr>
        <w:t>compatibilidade de horários</w:t>
      </w:r>
      <w:r w:rsidRPr="007E6356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, observado em qualquer caso o disposto no inciso XI:</w:t>
      </w:r>
    </w:p>
    <w:p w:rsidR="00C024EE" w:rsidRPr="007E6356" w:rsidRDefault="00C024EE" w:rsidP="00C024EE">
      <w:pPr>
        <w:spacing w:before="100" w:beforeAutospacing="1" w:after="100" w:afterAutospacing="1"/>
        <w:ind w:left="2268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pt-BR"/>
        </w:rPr>
      </w:pPr>
      <w:r w:rsidRPr="007E6356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c) </w:t>
      </w:r>
      <w:r w:rsidRPr="007E635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pt-BR"/>
        </w:rPr>
        <w:t>a de dois cargos ou empregos privativos de profissionais de saúde, com profissões regulamentadas;   </w:t>
      </w:r>
    </w:p>
    <w:p w:rsidR="00C024EE" w:rsidRPr="008C65D9" w:rsidRDefault="00C024EE" w:rsidP="002C4691">
      <w:pPr>
        <w:spacing w:before="100" w:beforeAutospacing="1" w:after="100" w:afterAutospacing="1"/>
        <w:ind w:left="2268"/>
        <w:contextualSpacing/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pt-BR"/>
        </w:rPr>
      </w:pPr>
    </w:p>
    <w:p w:rsidR="00CF184F" w:rsidRPr="008C65D9" w:rsidRDefault="00CF184F" w:rsidP="00000AB9">
      <w:pPr>
        <w:spacing w:before="240" w:after="567" w:line="360" w:lineRule="atLeast"/>
        <w:ind w:firstLine="2268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8C65D9">
        <w:rPr>
          <w:rFonts w:ascii="Arial" w:eastAsia="Arial" w:hAnsi="Arial" w:cs="Arial"/>
          <w:sz w:val="21"/>
          <w:szCs w:val="21"/>
          <w:lang w:val="pt-BR"/>
        </w:rPr>
        <w:t>A interpretação adotada pela EBSERH</w:t>
      </w:r>
      <w:r w:rsidR="00950B6B">
        <w:rPr>
          <w:rFonts w:ascii="Arial" w:eastAsia="Arial" w:hAnsi="Arial" w:cs="Arial"/>
          <w:sz w:val="21"/>
          <w:szCs w:val="21"/>
          <w:lang w:val="pt-BR"/>
        </w:rPr>
        <w:t xml:space="preserve"> – </w:t>
      </w:r>
      <w:r w:rsidRPr="008C65D9">
        <w:rPr>
          <w:rFonts w:ascii="Arial" w:eastAsia="Arial" w:hAnsi="Arial" w:cs="Arial"/>
          <w:sz w:val="21"/>
          <w:szCs w:val="21"/>
          <w:lang w:val="pt-BR"/>
        </w:rPr>
        <w:t>como justificativa para adequar seu quadro de profissionais aos requisitos constitucionais</w:t>
      </w:r>
      <w:r w:rsidR="00950B6B">
        <w:rPr>
          <w:rFonts w:ascii="Arial" w:eastAsia="Arial" w:hAnsi="Arial" w:cs="Arial"/>
          <w:sz w:val="21"/>
          <w:szCs w:val="21"/>
          <w:lang w:val="pt-BR"/>
        </w:rPr>
        <w:t xml:space="preserve"> – </w:t>
      </w:r>
      <w:r w:rsidRPr="008C65D9">
        <w:rPr>
          <w:rFonts w:ascii="Arial" w:eastAsia="Arial" w:hAnsi="Arial" w:cs="Arial"/>
          <w:sz w:val="21"/>
          <w:szCs w:val="21"/>
          <w:lang w:val="pt-BR"/>
        </w:rPr>
        <w:t>viola diretamente o</w:t>
      </w:r>
      <w:r w:rsidR="00BC5D47" w:rsidRPr="008C65D9">
        <w:rPr>
          <w:rFonts w:ascii="Arial" w:eastAsia="Arial" w:hAnsi="Arial" w:cs="Arial"/>
          <w:sz w:val="21"/>
          <w:szCs w:val="21"/>
          <w:lang w:val="pt-BR"/>
        </w:rPr>
        <w:t xml:space="preserve"> art. 5º, XIII e o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 art. 37, inciso XVI, alínea “c’</w:t>
      </w:r>
      <w:r w:rsidR="009E2A73" w:rsidRPr="008C65D9">
        <w:rPr>
          <w:rFonts w:ascii="Arial" w:eastAsia="Arial" w:hAnsi="Arial" w:cs="Arial"/>
          <w:sz w:val="21"/>
          <w:szCs w:val="21"/>
          <w:lang w:val="pt-BR"/>
        </w:rPr>
        <w:t xml:space="preserve"> da CF de 1988</w:t>
      </w:r>
      <w:r w:rsidRPr="008C65D9">
        <w:rPr>
          <w:rFonts w:ascii="Arial" w:eastAsia="Arial" w:hAnsi="Arial" w:cs="Arial"/>
          <w:sz w:val="21"/>
          <w:szCs w:val="21"/>
          <w:lang w:val="pt-BR"/>
        </w:rPr>
        <w:t>, visto que</w:t>
      </w:r>
      <w:r w:rsidR="00950B6B">
        <w:rPr>
          <w:rFonts w:ascii="Arial" w:eastAsia="Arial" w:hAnsi="Arial" w:cs="Arial"/>
          <w:sz w:val="21"/>
          <w:szCs w:val="21"/>
          <w:lang w:val="pt-BR"/>
        </w:rPr>
        <w:t xml:space="preserve"> não se extrai da leitura da alínea “c”, a restrição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 à </w:t>
      </w:r>
      <w:r w:rsidR="000250A2" w:rsidRPr="008C65D9">
        <w:rPr>
          <w:rFonts w:ascii="Arial" w:eastAsia="Arial" w:hAnsi="Arial" w:cs="Arial"/>
          <w:sz w:val="21"/>
          <w:szCs w:val="21"/>
          <w:lang w:val="pt-BR"/>
        </w:rPr>
        <w:t>espécie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 normativa </w:t>
      </w:r>
      <w:r w:rsidR="000250A2" w:rsidRPr="008C65D9">
        <w:rPr>
          <w:rFonts w:ascii="Arial" w:eastAsia="Arial" w:hAnsi="Arial" w:cs="Arial"/>
          <w:sz w:val="21"/>
          <w:szCs w:val="21"/>
          <w:lang w:val="pt-BR"/>
        </w:rPr>
        <w:t>denominada “LEI”</w:t>
      </w:r>
      <w:r w:rsidR="00950B6B">
        <w:rPr>
          <w:rFonts w:ascii="Arial" w:eastAsia="Arial" w:hAnsi="Arial" w:cs="Arial"/>
          <w:sz w:val="21"/>
          <w:szCs w:val="21"/>
          <w:lang w:val="pt-BR"/>
        </w:rPr>
        <w:t xml:space="preserve">. Portanto, é plausível que a interpretação se </w:t>
      </w:r>
      <w:r w:rsidR="00ED303D">
        <w:rPr>
          <w:rFonts w:ascii="Arial" w:eastAsia="Arial" w:hAnsi="Arial" w:cs="Arial"/>
          <w:sz w:val="21"/>
          <w:szCs w:val="21"/>
          <w:lang w:val="pt-BR"/>
        </w:rPr>
        <w:t xml:space="preserve">estenda </w:t>
      </w:r>
      <w:r w:rsidR="00ED303D" w:rsidRPr="008C65D9">
        <w:rPr>
          <w:rFonts w:ascii="Arial" w:eastAsia="Arial" w:hAnsi="Arial" w:cs="Arial"/>
          <w:sz w:val="21"/>
          <w:szCs w:val="21"/>
          <w:lang w:val="pt-BR"/>
        </w:rPr>
        <w:t>a</w:t>
      </w:r>
      <w:r w:rsidR="00950B6B">
        <w:rPr>
          <w:rFonts w:ascii="Arial" w:eastAsia="Arial" w:hAnsi="Arial" w:cs="Arial"/>
          <w:sz w:val="21"/>
          <w:szCs w:val="21"/>
          <w:lang w:val="pt-BR"/>
        </w:rPr>
        <w:t xml:space="preserve"> outros</w:t>
      </w:r>
      <w:r w:rsidR="00950308" w:rsidRPr="008C65D9">
        <w:rPr>
          <w:rFonts w:ascii="Arial" w:eastAsia="Arial" w:hAnsi="Arial" w:cs="Arial"/>
          <w:sz w:val="21"/>
          <w:szCs w:val="21"/>
          <w:lang w:val="pt-BR"/>
        </w:rPr>
        <w:t xml:space="preserve"> atos infralegais com</w:t>
      </w:r>
      <w:r w:rsidR="00AD6220">
        <w:rPr>
          <w:rFonts w:ascii="Arial" w:eastAsia="Arial" w:hAnsi="Arial" w:cs="Arial"/>
          <w:sz w:val="21"/>
          <w:szCs w:val="21"/>
          <w:lang w:val="pt-BR"/>
        </w:rPr>
        <w:t>o</w:t>
      </w:r>
      <w:r w:rsidR="00950308" w:rsidRPr="008C65D9">
        <w:rPr>
          <w:rFonts w:ascii="Arial" w:eastAsia="Arial" w:hAnsi="Arial" w:cs="Arial"/>
          <w:sz w:val="21"/>
          <w:szCs w:val="21"/>
          <w:lang w:val="pt-BR"/>
        </w:rPr>
        <w:t xml:space="preserve"> as Resoluções de Conselhos.</w:t>
      </w:r>
    </w:p>
    <w:p w:rsidR="00DE3479" w:rsidRPr="008C65D9" w:rsidRDefault="00950308" w:rsidP="00000AB9">
      <w:pPr>
        <w:spacing w:before="240" w:after="567" w:line="360" w:lineRule="atLeast"/>
        <w:ind w:firstLine="2268"/>
        <w:jc w:val="both"/>
        <w:rPr>
          <w:rFonts w:ascii="Arial" w:eastAsia="Arial" w:hAnsi="Arial" w:cs="Arial"/>
          <w:b/>
          <w:bCs/>
          <w:sz w:val="21"/>
          <w:szCs w:val="21"/>
          <w:lang w:val="pt-BR"/>
        </w:rPr>
      </w:pP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É nesse sentido que o STF vem se posicionando </w:t>
      </w:r>
      <w:r w:rsidR="009E2A73" w:rsidRPr="008C65D9">
        <w:rPr>
          <w:rFonts w:ascii="Arial" w:eastAsia="Arial" w:hAnsi="Arial" w:cs="Arial"/>
          <w:sz w:val="21"/>
          <w:szCs w:val="21"/>
          <w:lang w:val="pt-BR"/>
        </w:rPr>
        <w:t>ao</w:t>
      </w:r>
      <w:r w:rsidR="00C024EE" w:rsidRPr="008C65D9">
        <w:rPr>
          <w:rFonts w:ascii="Arial" w:eastAsia="Arial" w:hAnsi="Arial" w:cs="Arial"/>
          <w:sz w:val="21"/>
          <w:szCs w:val="21"/>
          <w:lang w:val="pt-BR"/>
        </w:rPr>
        <w:t xml:space="preserve"> estabelece</w:t>
      </w:r>
      <w:r w:rsidR="009E2A73" w:rsidRPr="008C65D9">
        <w:rPr>
          <w:rFonts w:ascii="Arial" w:eastAsia="Arial" w:hAnsi="Arial" w:cs="Arial"/>
          <w:sz w:val="21"/>
          <w:szCs w:val="21"/>
          <w:lang w:val="pt-BR"/>
        </w:rPr>
        <w:t>r</w:t>
      </w:r>
      <w:r w:rsidR="00C024EE" w:rsidRPr="008C65D9">
        <w:rPr>
          <w:rFonts w:ascii="Arial" w:eastAsia="Arial" w:hAnsi="Arial" w:cs="Arial"/>
          <w:sz w:val="21"/>
          <w:szCs w:val="21"/>
          <w:lang w:val="pt-BR"/>
        </w:rPr>
        <w:t xml:space="preserve"> que a “</w:t>
      </w:r>
      <w:r w:rsidR="00C024EE" w:rsidRPr="008C65D9">
        <w:rPr>
          <w:rFonts w:ascii="Arial" w:eastAsia="Arial" w:hAnsi="Arial" w:cs="Arial"/>
          <w:b/>
          <w:bCs/>
          <w:sz w:val="21"/>
          <w:szCs w:val="21"/>
          <w:lang w:val="pt-BR"/>
        </w:rPr>
        <w:t xml:space="preserve">regulamentação é suficiente para fins de permitir a acumulação de cargos, visto que não há exigência no texto constitucional para que a regulamentação seja feita por meio de lei, mostrando-se bastante a regulamentação por ato </w:t>
      </w:r>
      <w:proofErr w:type="spellStart"/>
      <w:r w:rsidR="00C024EE" w:rsidRPr="008C65D9">
        <w:rPr>
          <w:rFonts w:ascii="Arial" w:eastAsia="Arial" w:hAnsi="Arial" w:cs="Arial"/>
          <w:b/>
          <w:bCs/>
          <w:sz w:val="21"/>
          <w:szCs w:val="21"/>
          <w:lang w:val="pt-BR"/>
        </w:rPr>
        <w:t>infra-legal</w:t>
      </w:r>
      <w:proofErr w:type="spellEnd"/>
      <w:r w:rsidR="00C024EE" w:rsidRPr="008C65D9">
        <w:rPr>
          <w:rFonts w:ascii="Arial" w:eastAsia="Arial" w:hAnsi="Arial" w:cs="Arial"/>
          <w:b/>
          <w:bCs/>
          <w:sz w:val="21"/>
          <w:szCs w:val="21"/>
          <w:lang w:val="pt-BR"/>
        </w:rPr>
        <w:t>”</w:t>
      </w:r>
      <w:r w:rsidR="00BC5D47" w:rsidRPr="008C65D9">
        <w:rPr>
          <w:rFonts w:ascii="Arial" w:eastAsia="Arial" w:hAnsi="Arial" w:cs="Arial"/>
          <w:b/>
          <w:bCs/>
          <w:sz w:val="21"/>
          <w:szCs w:val="21"/>
          <w:lang w:val="pt-BR"/>
        </w:rPr>
        <w:t>.</w:t>
      </w:r>
      <w:r w:rsidR="003B371E">
        <w:rPr>
          <w:rFonts w:ascii="Arial" w:eastAsia="Arial" w:hAnsi="Arial" w:cs="Arial"/>
          <w:b/>
          <w:bCs/>
          <w:sz w:val="21"/>
          <w:szCs w:val="21"/>
          <w:lang w:val="pt-BR"/>
        </w:rPr>
        <w:t xml:space="preserve"> (RE </w:t>
      </w:r>
      <w:r w:rsidR="003B371E" w:rsidRPr="003B371E">
        <w:rPr>
          <w:rFonts w:ascii="Arial" w:eastAsia="Arial" w:hAnsi="Arial" w:cs="Arial"/>
          <w:b/>
          <w:bCs/>
          <w:sz w:val="21"/>
          <w:szCs w:val="21"/>
          <w:lang w:val="pt-BR"/>
        </w:rPr>
        <w:t>1134753 DF</w:t>
      </w:r>
      <w:r w:rsidR="003B371E" w:rsidRPr="003B371E">
        <w:rPr>
          <w:rFonts w:ascii="Arial" w:eastAsia="Arial" w:hAnsi="Arial" w:cs="Arial"/>
          <w:sz w:val="21"/>
          <w:szCs w:val="21"/>
          <w:lang w:val="pt-BR"/>
        </w:rPr>
        <w:t>)</w:t>
      </w:r>
    </w:p>
    <w:p w:rsidR="00DE3479" w:rsidRPr="008C65D9" w:rsidRDefault="008C65D9" w:rsidP="00DE3479">
      <w:pPr>
        <w:pStyle w:val="paragraph"/>
        <w:spacing w:before="0" w:beforeAutospacing="0" w:after="0" w:afterAutospacing="0"/>
        <w:ind w:left="2268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8C65D9">
        <w:rPr>
          <w:rStyle w:val="normaltextrun"/>
          <w:rFonts w:ascii="Aptos" w:hAnsi="Aptos" w:cs="Segoe UI"/>
          <w:sz w:val="44"/>
          <w:szCs w:val="44"/>
        </w:rPr>
        <w:t xml:space="preserve">STF </w:t>
      </w:r>
      <w:r w:rsidR="00DE3479" w:rsidRPr="008C65D9">
        <w:rPr>
          <w:rStyle w:val="normaltextrun"/>
          <w:rFonts w:ascii="Aptos" w:hAnsi="Aptos" w:cs="Segoe UI"/>
          <w:sz w:val="20"/>
          <w:szCs w:val="20"/>
        </w:rPr>
        <w:t xml:space="preserve">Trata-se de recurso extraordinário interposto contra acórdão assim ementado: </w:t>
      </w:r>
      <w:r w:rsidR="00ED303D" w:rsidRPr="008C65D9">
        <w:rPr>
          <w:rStyle w:val="normaltextrun"/>
          <w:rFonts w:ascii="Aptos" w:hAnsi="Aptos" w:cs="Segoe UI"/>
          <w:sz w:val="20"/>
          <w:szCs w:val="20"/>
        </w:rPr>
        <w:t>“DIREITO</w:t>
      </w:r>
      <w:r w:rsidR="00DE3479" w:rsidRPr="008C65D9">
        <w:rPr>
          <w:rStyle w:val="normaltextrun"/>
          <w:rFonts w:ascii="Aptos" w:hAnsi="Aptos" w:cs="Segoe UI"/>
          <w:sz w:val="20"/>
          <w:szCs w:val="20"/>
        </w:rPr>
        <w:t xml:space="preserve"> PROCESSUAL CIVIL. AGRAVO INTERNO. MANDADO DE SEGURANÇA. CUMULAÇÃO DE CARGOS PÚBLICOS. TÉCNICO EM NUTRIÇÃO E NUTRICIONISTA. POSSIBILIDADE. NEGATIVA DE SEGUIMENTO. APLICAÇÃO DO ART. 557 DO CPC. 1. Correta se afigura a decisão que nega seguimento à apelação do réu,</w:t>
      </w:r>
      <w:r w:rsidR="00972AC7">
        <w:rPr>
          <w:rStyle w:val="normaltextrun"/>
          <w:rFonts w:ascii="Aptos" w:hAnsi="Aptos" w:cs="Segoe UI"/>
          <w:sz w:val="20"/>
          <w:szCs w:val="20"/>
        </w:rPr>
        <w:t xml:space="preserve"> </w:t>
      </w:r>
      <w:r w:rsidR="00DE3479" w:rsidRPr="008C65D9">
        <w:rPr>
          <w:rStyle w:val="normaltextrun"/>
          <w:rFonts w:ascii="Aptos" w:hAnsi="Aptos" w:cs="Segoe UI"/>
          <w:sz w:val="20"/>
          <w:szCs w:val="20"/>
        </w:rPr>
        <w:t>nos termos do art. 557, caput,</w:t>
      </w:r>
      <w:r w:rsidR="00972AC7">
        <w:rPr>
          <w:rStyle w:val="normaltextrun"/>
          <w:rFonts w:ascii="Aptos" w:hAnsi="Aptos" w:cs="Segoe UI"/>
          <w:sz w:val="20"/>
          <w:szCs w:val="20"/>
        </w:rPr>
        <w:t xml:space="preserve"> </w:t>
      </w:r>
      <w:r w:rsidR="00DE3479" w:rsidRPr="008C65D9">
        <w:rPr>
          <w:rStyle w:val="normaltextrun"/>
          <w:rFonts w:ascii="Aptos" w:hAnsi="Aptos" w:cs="Segoe UI"/>
          <w:sz w:val="20"/>
          <w:szCs w:val="20"/>
        </w:rPr>
        <w:t xml:space="preserve">do Código de Processo Civil, em razão de a pretensão do recorrente se mostrar contrária ao entendimento deste egrégio Tribunal. 2. Os dois cargos públicos privativos de profissionais de saúde, com profissões regulamentadas, enquadram-se numa das hipóteses excepcionais em que a Constituição Federal admite a cumulação remunerada. 3. Agravo interno desprovido” (pág. 89 do documento eletrônico 3). Neste RE, fundado no art. 102, III, a, da </w:t>
      </w:r>
      <w:r w:rsidR="00DE3479" w:rsidRPr="008C65D9">
        <w:rPr>
          <w:rStyle w:val="normaltextrun"/>
          <w:rFonts w:ascii="Aptos" w:hAnsi="Aptos" w:cs="Segoe UI"/>
          <w:sz w:val="20"/>
          <w:szCs w:val="20"/>
        </w:rPr>
        <w:lastRenderedPageBreak/>
        <w:t xml:space="preserve">Constituição, alega-se ofensa aos </w:t>
      </w:r>
      <w:proofErr w:type="spellStart"/>
      <w:r w:rsidR="00DE3479" w:rsidRPr="008C65D9">
        <w:rPr>
          <w:rStyle w:val="normaltextrun"/>
          <w:rFonts w:ascii="Aptos" w:hAnsi="Aptos" w:cs="Segoe UI"/>
          <w:sz w:val="20"/>
          <w:szCs w:val="20"/>
        </w:rPr>
        <w:t>arts</w:t>
      </w:r>
      <w:proofErr w:type="spellEnd"/>
      <w:r w:rsidR="00DE3479" w:rsidRPr="008C65D9">
        <w:rPr>
          <w:rStyle w:val="normaltextrun"/>
          <w:rFonts w:ascii="Aptos" w:hAnsi="Aptos" w:cs="Segoe UI"/>
          <w:sz w:val="20"/>
          <w:szCs w:val="20"/>
        </w:rPr>
        <w:t xml:space="preserve">. 22, XVI e 37, XVI, c, da mesma Carta, sob o fundamento, em síntese, de que: “[...] uma mera Resolução do Conselho Federal de Nutrição não é apta a regulamentar a profissão de técnico em nutrição, pois há necessidade de lei federal formal para tanto na forma do Art. 22, XVI, da </w:t>
      </w:r>
      <w:r w:rsidR="00ED303D" w:rsidRPr="008C65D9">
        <w:rPr>
          <w:rStyle w:val="normaltextrun"/>
          <w:rFonts w:ascii="Aptos" w:hAnsi="Aptos" w:cs="Segoe UI"/>
          <w:sz w:val="20"/>
          <w:szCs w:val="20"/>
        </w:rPr>
        <w:t>CF” (</w:t>
      </w:r>
      <w:r w:rsidR="00DE3479" w:rsidRPr="008C65D9">
        <w:rPr>
          <w:rStyle w:val="normaltextrun"/>
          <w:rFonts w:ascii="Aptos" w:hAnsi="Aptos" w:cs="Segoe UI"/>
          <w:sz w:val="20"/>
          <w:szCs w:val="20"/>
        </w:rPr>
        <w:t xml:space="preserve">página 46 do documento eletrônico 5). O Ministério Público Federal, em parecer da lavra do Subprocurador-Geral da República Paulo Gustavo </w:t>
      </w:r>
      <w:proofErr w:type="spellStart"/>
      <w:r w:rsidR="00DE3479" w:rsidRPr="008C65D9">
        <w:rPr>
          <w:rStyle w:val="normaltextrun"/>
          <w:rFonts w:ascii="Aptos" w:hAnsi="Aptos" w:cs="Segoe UI"/>
          <w:sz w:val="20"/>
          <w:szCs w:val="20"/>
        </w:rPr>
        <w:t>Gonet</w:t>
      </w:r>
      <w:proofErr w:type="spellEnd"/>
      <w:r w:rsidR="00DE3479" w:rsidRPr="008C65D9">
        <w:rPr>
          <w:rStyle w:val="normaltextrun"/>
          <w:rFonts w:ascii="Aptos" w:hAnsi="Aptos" w:cs="Segoe UI"/>
          <w:sz w:val="20"/>
          <w:szCs w:val="20"/>
        </w:rPr>
        <w:t xml:space="preserve"> Branco, opinou pela negativa de seguimento ao recurso (documento eletrônico 11). Eis a ementa da referida manifestação: “Recurso Extraordinário. Técnico em Nutrição e Nutricionista. Acumulação de dois cargos públicos de profissional da saúde. Profissão regulamentada por lei federal. Precedente do STF. Parecer pelo desprovimento do recurso”. É o relatório suficiente. Decido. Bem examinados os autos, verifico que a pretensão não merece acolhida. O Tribunal a quo, ao dirimir a questão posta aos autos, assim se pronunciou: “Segundo se extrai dos autos, a apelada, em 30/7/2010, foi admitida na função de técnico de nutrição do Distrito Federal e, em 7/1/2014, foi empossada como nutricionista na Secretaria de Estado da Saúde do Distrito Federal. Essa situação rendeu à recorrida um processo administrativo por acumulação ilícita de cargos públicos (fls. 24/60), onde consta a necessidade de a servidora formalizar o termo de opção por um dos cargos exercido. Pretendendo permanecer acumulando tais atividades, a servidora manejou o presente mandado de segurança, tendo sido concedida a segurança. Destarte, os argumentos da impetrante são suficientes para embasar o direito alegado. A vedação à acumulação ilícita de cargos públicos é preceito constitucional disciplinado no art. 37, inciso XVI, alínea ‘c’, da Carta Magna. Entretanto, sendo a regra a proibição de cumulação de cargos públicos, verifica-se, na espécie, a possibilidade de autorizar a parte requerente a permanecer nas duas funções, uma vez que as atividades são regulamentadas e possuem compatibilidade de horário. O douto Magistrado singular bem dirimiu a questão em destaque, motivo pelo qual peço vênia para adotar como razões de decidir o seguinte excerto contido nas fls. 186/187v: ‘16. O art. 37, XVI, alínea ‘c’, da CF condiciona a cumulação de dois cargos públicos privativos de profissionais da saúde apenas a dois requisitos: as profissões devem ser regulamentadas e deve haver compatibilidade de horários. 17. Acumulação do exercício de cargos públicos foi negada à impetrante sob o fundamento de que a profissão de técnico em nutrição não se encontra regulamentada, considerando que houve arquivamento do projeto de lei que tramitava no Congresso Nacional e que se prestava a tal finalidade. 18</w:t>
      </w:r>
      <w:r w:rsidR="00DE3479" w:rsidRPr="008C65D9">
        <w:rPr>
          <w:rStyle w:val="normaltextrun"/>
          <w:rFonts w:ascii="Aptos" w:hAnsi="Aptos" w:cs="Segoe UI"/>
          <w:b/>
          <w:bCs/>
          <w:sz w:val="20"/>
          <w:szCs w:val="20"/>
        </w:rPr>
        <w:t xml:space="preserve">. No entanto, observa-se que a atividade foi regulamentada através de Resolução do Conselho Federal de Nutricionistas. Tal regulamentação é suficiente para fins de permitir a acumulação de cargos, visto que não há exigência no texto constitucional para que a regulamentação seja feita por meio de lei, mostrando-se bastante a regulamentação por ato </w:t>
      </w:r>
      <w:proofErr w:type="spellStart"/>
      <w:r w:rsidR="00DE3479" w:rsidRPr="008C65D9">
        <w:rPr>
          <w:rStyle w:val="normaltextrun"/>
          <w:rFonts w:ascii="Aptos" w:hAnsi="Aptos" w:cs="Segoe UI"/>
          <w:b/>
          <w:bCs/>
          <w:sz w:val="20"/>
          <w:szCs w:val="20"/>
        </w:rPr>
        <w:t>infra-legal</w:t>
      </w:r>
      <w:proofErr w:type="spellEnd"/>
      <w:r w:rsidR="00DE3479" w:rsidRPr="008C65D9">
        <w:rPr>
          <w:rStyle w:val="normaltextrun"/>
          <w:rFonts w:ascii="Aptos" w:hAnsi="Aptos" w:cs="Segoe UI"/>
          <w:b/>
          <w:bCs/>
          <w:sz w:val="20"/>
          <w:szCs w:val="20"/>
        </w:rPr>
        <w:t>” (págs. 92-93 do documento eletrônico 3 - grifei).</w:t>
      </w:r>
      <w:r w:rsidR="00DE3479" w:rsidRPr="008C65D9">
        <w:rPr>
          <w:rStyle w:val="normaltextrun"/>
          <w:rFonts w:ascii="Aptos" w:hAnsi="Aptos" w:cs="Segoe UI"/>
          <w:sz w:val="20"/>
          <w:szCs w:val="20"/>
        </w:rPr>
        <w:t xml:space="preserve"> Observa-se, no ponto, que a profissão de Técnico em nutrição foi regulamentada por Lei federal (Lei 5.524/1968), nos termos do decidido na ADI 803/DF. Desse modo, deve ser reconhecido a quem desempenha tal função o direito à acumulação de cargos públicos previsto no art. 37, XVI, c, da Constituição Federal. Isso posto, nego seguimento ao recurso (art. 21, § 1º, do RISTF). Publique-se. Brasília, 30 de março de 2020. Ministro Ricardo Lewandowski Relator</w:t>
      </w:r>
      <w:r w:rsidR="00DE3479" w:rsidRPr="008C65D9">
        <w:rPr>
          <w:rStyle w:val="eop"/>
          <w:rFonts w:ascii="Aptos" w:hAnsi="Aptos" w:cs="Segoe UI"/>
          <w:sz w:val="20"/>
          <w:szCs w:val="20"/>
        </w:rPr>
        <w:t> </w:t>
      </w:r>
    </w:p>
    <w:p w:rsidR="00DE3479" w:rsidRPr="008C65D9" w:rsidRDefault="00DE3479" w:rsidP="00DE3479">
      <w:pPr>
        <w:pStyle w:val="paragraph"/>
        <w:spacing w:before="0" w:beforeAutospacing="0" w:after="0" w:afterAutospacing="0"/>
        <w:ind w:left="2268"/>
        <w:jc w:val="both"/>
        <w:textAlignment w:val="baseline"/>
        <w:rPr>
          <w:rStyle w:val="eop"/>
          <w:rFonts w:ascii="Aptos" w:hAnsi="Aptos" w:cs="Segoe UI"/>
          <w:b/>
          <w:bCs/>
          <w:sz w:val="20"/>
          <w:szCs w:val="20"/>
        </w:rPr>
      </w:pPr>
      <w:r w:rsidRPr="008C65D9">
        <w:rPr>
          <w:rStyle w:val="normaltextrun"/>
          <w:rFonts w:ascii="Aptos" w:hAnsi="Aptos" w:cs="Segoe UI"/>
          <w:b/>
          <w:bCs/>
          <w:sz w:val="20"/>
          <w:szCs w:val="20"/>
        </w:rPr>
        <w:t>(STF - RE: 1134753 DF - DISTRITO FEDERAL 0110988-31.2014.8.07.0001, Relator: Min. RICARDO LEWANDOWSKI, Data de Julgamento: 30/03/2020, Data de Publicação: DJe-081 02/04/2020)</w:t>
      </w:r>
      <w:r w:rsidRPr="008C65D9">
        <w:rPr>
          <w:rStyle w:val="eop"/>
          <w:rFonts w:ascii="Aptos" w:hAnsi="Aptos" w:cs="Segoe UI"/>
          <w:b/>
          <w:bCs/>
          <w:sz w:val="20"/>
          <w:szCs w:val="20"/>
        </w:rPr>
        <w:t> </w:t>
      </w:r>
    </w:p>
    <w:p w:rsidR="008C65D9" w:rsidRPr="008C65D9" w:rsidRDefault="008C65D9" w:rsidP="00DE3479">
      <w:pPr>
        <w:pStyle w:val="paragraph"/>
        <w:spacing w:before="0" w:beforeAutospacing="0" w:after="0" w:afterAutospacing="0"/>
        <w:ind w:left="2268"/>
        <w:jc w:val="both"/>
        <w:textAlignment w:val="baseline"/>
        <w:rPr>
          <w:rStyle w:val="eop"/>
          <w:rFonts w:ascii="Aptos" w:hAnsi="Aptos" w:cs="Segoe UI"/>
          <w:b/>
          <w:bCs/>
          <w:sz w:val="20"/>
          <w:szCs w:val="20"/>
        </w:rPr>
      </w:pPr>
    </w:p>
    <w:p w:rsidR="008C65D9" w:rsidRPr="008C65D9" w:rsidRDefault="008C65D9" w:rsidP="00DE3479">
      <w:pPr>
        <w:pStyle w:val="paragraph"/>
        <w:spacing w:before="0" w:beforeAutospacing="0" w:after="0" w:afterAutospacing="0"/>
        <w:ind w:left="2268"/>
        <w:jc w:val="both"/>
        <w:textAlignment w:val="baseline"/>
        <w:rPr>
          <w:rStyle w:val="eop"/>
          <w:rFonts w:ascii="Aptos" w:hAnsi="Aptos" w:cs="Segoe UI"/>
          <w:b/>
          <w:bCs/>
          <w:sz w:val="20"/>
          <w:szCs w:val="20"/>
        </w:rPr>
      </w:pPr>
    </w:p>
    <w:p w:rsidR="008C65D9" w:rsidRPr="008C65D9" w:rsidRDefault="008C65D9" w:rsidP="008C65D9">
      <w:pPr>
        <w:pStyle w:val="paragraph"/>
        <w:spacing w:before="0" w:beforeAutospacing="0" w:after="0" w:afterAutospacing="0"/>
        <w:ind w:left="2268"/>
        <w:jc w:val="both"/>
        <w:textAlignment w:val="baseline"/>
        <w:rPr>
          <w:rFonts w:ascii="Segoe UI" w:hAnsi="Segoe UI" w:cs="Segoe UI"/>
          <w:sz w:val="20"/>
          <w:szCs w:val="20"/>
        </w:rPr>
      </w:pPr>
      <w:bookmarkStart w:id="0" w:name="_Hlk171336559"/>
      <w:r w:rsidRPr="008C65D9">
        <w:rPr>
          <w:rStyle w:val="normaltextrun"/>
          <w:rFonts w:ascii="Aptos" w:hAnsi="Aptos" w:cs="Segoe UI"/>
          <w:sz w:val="44"/>
          <w:szCs w:val="44"/>
        </w:rPr>
        <w:lastRenderedPageBreak/>
        <w:t xml:space="preserve">STF </w:t>
      </w:r>
      <w:r w:rsidRPr="008C65D9">
        <w:rPr>
          <w:rStyle w:val="normaltextrun"/>
          <w:rFonts w:ascii="Aptos" w:hAnsi="Aptos" w:cs="Segoe UI"/>
          <w:sz w:val="20"/>
          <w:szCs w:val="20"/>
        </w:rPr>
        <w:t>Destaca-se que no caso em análise, a regulamentação expressa da caracterização da profissão como sendo da área da saúde se deu por ato infralegal</w:t>
      </w:r>
      <w:r w:rsidRPr="008C65D9">
        <w:rPr>
          <w:rStyle w:val="normaltextrun"/>
          <w:rFonts w:ascii="Aptos" w:hAnsi="Aptos" w:cs="Segoe UI"/>
          <w:b/>
          <w:bCs/>
          <w:sz w:val="20"/>
          <w:szCs w:val="20"/>
        </w:rPr>
        <w:t>. Embora a regulamentação tenha sido desta forma, o texto do art. 37, XVI, c da Constituição Federal, traz a expressão ‘regulamentação’, mas não individualiza qualquer espécie normativa. Portanto, quando a Constituição Federal quis prever a necessidade de uma determinada espécie normativa para regulamentar alguma matéria, fê-lo expressamente. Nesse caso, a opção constitucional foi pela expressão genérica ‘regulamentação’, sendo possível extrair a regulamentação da profissão da legislação em sentido amplo, incluindo os atos infralegais. Logo, o assistente social é profissional da saúde com profissão regulamentada.</w:t>
      </w:r>
      <w:r w:rsidRPr="008C65D9">
        <w:rPr>
          <w:rStyle w:val="eop"/>
          <w:rFonts w:ascii="Aptos" w:hAnsi="Aptos" w:cs="Segoe UI"/>
          <w:sz w:val="20"/>
          <w:szCs w:val="20"/>
        </w:rPr>
        <w:t> </w:t>
      </w:r>
    </w:p>
    <w:p w:rsidR="008C65D9" w:rsidRPr="008C65D9" w:rsidRDefault="008C65D9" w:rsidP="008C65D9">
      <w:pPr>
        <w:pStyle w:val="paragraph"/>
        <w:spacing w:before="0" w:beforeAutospacing="0" w:after="0" w:afterAutospacing="0"/>
        <w:ind w:left="2268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8C65D9">
        <w:rPr>
          <w:rStyle w:val="normaltextrun"/>
          <w:rFonts w:ascii="Aptos" w:hAnsi="Aptos" w:cs="Segoe UI"/>
          <w:sz w:val="20"/>
          <w:szCs w:val="20"/>
        </w:rPr>
        <w:t>(STF - ARE: 859682 DF - DISTRITO FEDERAL 0012903-78.2012.8.07.0001, Relator: Min. CÁRMEN LÚCIA, Data de Julgamento: 15/02/2015)</w:t>
      </w:r>
      <w:r w:rsidRPr="008C65D9">
        <w:rPr>
          <w:rStyle w:val="eop"/>
          <w:rFonts w:ascii="Aptos" w:hAnsi="Aptos" w:cs="Segoe UI"/>
          <w:sz w:val="20"/>
          <w:szCs w:val="20"/>
        </w:rPr>
        <w:t> </w:t>
      </w:r>
    </w:p>
    <w:bookmarkEnd w:id="0"/>
    <w:p w:rsidR="008C65D9" w:rsidRPr="008C65D9" w:rsidRDefault="008C65D9" w:rsidP="00DE3479">
      <w:pPr>
        <w:pStyle w:val="paragraph"/>
        <w:spacing w:before="0" w:beforeAutospacing="0" w:after="0" w:afterAutospacing="0"/>
        <w:ind w:left="2268"/>
        <w:jc w:val="both"/>
        <w:textAlignment w:val="baseline"/>
        <w:rPr>
          <w:rFonts w:ascii="Segoe UI" w:hAnsi="Segoe UI" w:cs="Segoe UI"/>
          <w:b/>
          <w:bCs/>
          <w:sz w:val="21"/>
          <w:szCs w:val="21"/>
        </w:rPr>
      </w:pPr>
    </w:p>
    <w:p w:rsidR="00DE3479" w:rsidRDefault="00DE3479" w:rsidP="008D59B8">
      <w:pPr>
        <w:spacing w:before="240" w:after="567" w:line="360" w:lineRule="atLeast"/>
        <w:ind w:firstLine="2268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8C65D9">
        <w:rPr>
          <w:rFonts w:ascii="Arial" w:eastAsia="Arial" w:hAnsi="Arial" w:cs="Arial"/>
          <w:sz w:val="21"/>
          <w:szCs w:val="21"/>
          <w:lang w:val="pt-BR"/>
        </w:rPr>
        <w:t>Verifica-se, portanto, que as Resoluções provenientes dos Conselhos profissionais suprem o requisito Constitucional</w:t>
      </w:r>
      <w:r w:rsidR="00787B8F">
        <w:rPr>
          <w:rFonts w:ascii="Arial" w:eastAsia="Arial" w:hAnsi="Arial" w:cs="Arial"/>
          <w:sz w:val="21"/>
          <w:szCs w:val="21"/>
          <w:lang w:val="pt-BR"/>
        </w:rPr>
        <w:t xml:space="preserve"> da</w:t>
      </w:r>
      <w:r w:rsidR="008C65D9">
        <w:rPr>
          <w:rFonts w:ascii="Arial" w:eastAsia="Arial" w:hAnsi="Arial" w:cs="Arial"/>
          <w:sz w:val="21"/>
          <w:szCs w:val="21"/>
          <w:lang w:val="pt-BR"/>
        </w:rPr>
        <w:t xml:space="preserve"> “profissão regulamentada”</w:t>
      </w:r>
      <w:r w:rsidRPr="008C65D9">
        <w:rPr>
          <w:rFonts w:ascii="Arial" w:eastAsia="Arial" w:hAnsi="Arial" w:cs="Arial"/>
          <w:sz w:val="21"/>
          <w:szCs w:val="21"/>
          <w:lang w:val="pt-BR"/>
        </w:rPr>
        <w:t>, abrindo-se a possibilidade para a acumulação legal</w:t>
      </w:r>
      <w:r w:rsidR="00ED303D">
        <w:rPr>
          <w:rFonts w:ascii="Arial" w:eastAsia="Arial" w:hAnsi="Arial" w:cs="Arial"/>
          <w:sz w:val="21"/>
          <w:szCs w:val="21"/>
          <w:lang w:val="pt-BR"/>
        </w:rPr>
        <w:t xml:space="preserve">, conforme preconiza o texto da </w:t>
      </w:r>
      <w:r w:rsidR="00ED303D" w:rsidRPr="003B371E">
        <w:rPr>
          <w:rFonts w:ascii="Arial" w:eastAsia="Arial" w:hAnsi="Arial" w:cs="Arial"/>
          <w:sz w:val="21"/>
          <w:szCs w:val="21"/>
          <w:lang w:val="pt-BR"/>
        </w:rPr>
        <w:t>alínea “c’</w:t>
      </w:r>
      <w:r w:rsidR="00ED303D">
        <w:rPr>
          <w:rFonts w:ascii="Arial" w:eastAsia="Arial" w:hAnsi="Arial" w:cs="Arial"/>
          <w:sz w:val="21"/>
          <w:szCs w:val="21"/>
          <w:lang w:val="pt-BR"/>
        </w:rPr>
        <w:t xml:space="preserve"> do </w:t>
      </w:r>
      <w:r w:rsidR="00ED303D" w:rsidRPr="003B371E">
        <w:rPr>
          <w:rFonts w:ascii="Arial" w:eastAsia="Arial" w:hAnsi="Arial" w:cs="Arial"/>
          <w:sz w:val="21"/>
          <w:szCs w:val="21"/>
          <w:lang w:val="pt-BR"/>
        </w:rPr>
        <w:t>art. 37, inciso XVI, da CF de 1988</w:t>
      </w:r>
      <w:r w:rsidR="00ED303D">
        <w:rPr>
          <w:rFonts w:ascii="Arial" w:eastAsia="Arial" w:hAnsi="Arial" w:cs="Arial"/>
          <w:sz w:val="21"/>
          <w:szCs w:val="21"/>
          <w:lang w:val="pt-BR"/>
        </w:rPr>
        <w:t>.</w:t>
      </w:r>
      <w:r w:rsidR="008D59B8">
        <w:rPr>
          <w:rFonts w:ascii="Arial" w:eastAsia="Arial" w:hAnsi="Arial" w:cs="Arial"/>
          <w:sz w:val="21"/>
          <w:szCs w:val="21"/>
          <w:lang w:val="pt-BR"/>
        </w:rPr>
        <w:t xml:space="preserve"> É o caso dos </w:t>
      </w:r>
      <w:r w:rsidR="008D59B8" w:rsidRPr="008C65D9">
        <w:rPr>
          <w:rFonts w:ascii="Arial" w:eastAsia="Arial" w:hAnsi="Arial" w:cs="Arial"/>
          <w:sz w:val="21"/>
          <w:szCs w:val="21"/>
          <w:lang w:val="pt-BR"/>
        </w:rPr>
        <w:t>técnicos</w:t>
      </w:r>
      <w:r w:rsidR="001A6057" w:rsidRPr="008C65D9">
        <w:rPr>
          <w:rFonts w:ascii="Arial" w:eastAsia="Arial" w:hAnsi="Arial" w:cs="Arial"/>
          <w:sz w:val="21"/>
          <w:szCs w:val="21"/>
          <w:lang w:val="pt-BR"/>
        </w:rPr>
        <w:t xml:space="preserve"> e tecnólogos que</w:t>
      </w:r>
      <w:r w:rsidR="008C65D9">
        <w:rPr>
          <w:rFonts w:ascii="Arial" w:eastAsia="Arial" w:hAnsi="Arial" w:cs="Arial"/>
          <w:sz w:val="21"/>
          <w:szCs w:val="21"/>
          <w:lang w:val="pt-BR"/>
        </w:rPr>
        <w:t>,</w:t>
      </w:r>
      <w:r w:rsidR="001A6057" w:rsidRPr="008C65D9">
        <w:rPr>
          <w:rFonts w:ascii="Arial" w:eastAsia="Arial" w:hAnsi="Arial" w:cs="Arial"/>
          <w:sz w:val="21"/>
          <w:szCs w:val="21"/>
          <w:lang w:val="pt-BR"/>
        </w:rPr>
        <w:t xml:space="preserve"> quando inscritos em Conselhos correlatos</w:t>
      </w:r>
      <w:r w:rsidR="008C65D9">
        <w:rPr>
          <w:rFonts w:ascii="Arial" w:eastAsia="Arial" w:hAnsi="Arial" w:cs="Arial"/>
          <w:sz w:val="21"/>
          <w:szCs w:val="21"/>
          <w:lang w:val="pt-BR"/>
        </w:rPr>
        <w:t>,</w:t>
      </w:r>
      <w:r w:rsidR="001A6057" w:rsidRPr="008C65D9">
        <w:rPr>
          <w:rFonts w:ascii="Arial" w:eastAsia="Arial" w:hAnsi="Arial" w:cs="Arial"/>
          <w:sz w:val="21"/>
          <w:szCs w:val="21"/>
          <w:lang w:val="pt-BR"/>
        </w:rPr>
        <w:t xml:space="preserve"> podem acumular cargos públicos</w:t>
      </w:r>
      <w:r w:rsidR="00787B8F">
        <w:rPr>
          <w:rFonts w:ascii="Arial" w:eastAsia="Arial" w:hAnsi="Arial" w:cs="Arial"/>
          <w:sz w:val="21"/>
          <w:szCs w:val="21"/>
          <w:lang w:val="pt-BR"/>
        </w:rPr>
        <w:t xml:space="preserve"> quando houver a</w:t>
      </w:r>
      <w:r w:rsidR="001A6057" w:rsidRPr="008C65D9">
        <w:rPr>
          <w:rFonts w:ascii="Arial" w:eastAsia="Arial" w:hAnsi="Arial" w:cs="Arial"/>
          <w:sz w:val="21"/>
          <w:szCs w:val="21"/>
          <w:lang w:val="pt-BR"/>
        </w:rPr>
        <w:t xml:space="preserve"> compatibilidade de horário. </w:t>
      </w:r>
      <w:r w:rsidR="008D59B8">
        <w:rPr>
          <w:rFonts w:ascii="Arial" w:eastAsia="Arial" w:hAnsi="Arial" w:cs="Arial"/>
          <w:sz w:val="21"/>
          <w:szCs w:val="21"/>
          <w:lang w:val="pt-BR"/>
        </w:rPr>
        <w:t>Tome-se como exemplo</w:t>
      </w:r>
      <w:r w:rsidR="001A6057" w:rsidRPr="008C65D9">
        <w:rPr>
          <w:rFonts w:ascii="Arial" w:eastAsia="Arial" w:hAnsi="Arial" w:cs="Arial"/>
          <w:sz w:val="21"/>
          <w:szCs w:val="21"/>
          <w:lang w:val="pt-BR"/>
        </w:rPr>
        <w:t xml:space="preserve"> </w:t>
      </w:r>
      <w:r w:rsidR="008D59B8">
        <w:rPr>
          <w:rFonts w:ascii="Arial" w:eastAsia="Arial" w:hAnsi="Arial" w:cs="Arial"/>
          <w:sz w:val="21"/>
          <w:szCs w:val="21"/>
          <w:lang w:val="pt-BR"/>
        </w:rPr>
        <w:t>os</w:t>
      </w:r>
      <w:r w:rsidR="001A6057" w:rsidRPr="008C65D9">
        <w:rPr>
          <w:rFonts w:ascii="Arial" w:eastAsia="Arial" w:hAnsi="Arial" w:cs="Arial"/>
          <w:sz w:val="21"/>
          <w:szCs w:val="21"/>
          <w:lang w:val="pt-BR"/>
        </w:rPr>
        <w:t xml:space="preserve"> técnico</w:t>
      </w:r>
      <w:r w:rsidR="008D59B8">
        <w:rPr>
          <w:rFonts w:ascii="Arial" w:eastAsia="Arial" w:hAnsi="Arial" w:cs="Arial"/>
          <w:sz w:val="21"/>
          <w:szCs w:val="21"/>
          <w:lang w:val="pt-BR"/>
        </w:rPr>
        <w:t>s</w:t>
      </w:r>
      <w:r w:rsidR="001A6057" w:rsidRPr="008C65D9">
        <w:rPr>
          <w:rFonts w:ascii="Arial" w:eastAsia="Arial" w:hAnsi="Arial" w:cs="Arial"/>
          <w:sz w:val="21"/>
          <w:szCs w:val="21"/>
          <w:lang w:val="pt-BR"/>
        </w:rPr>
        <w:t xml:space="preserve"> em análises clínicas e o terapeuta ocupacional</w:t>
      </w:r>
      <w:r w:rsidR="008D59B8">
        <w:rPr>
          <w:rFonts w:ascii="Arial" w:eastAsia="Arial" w:hAnsi="Arial" w:cs="Arial"/>
          <w:sz w:val="21"/>
          <w:szCs w:val="21"/>
          <w:lang w:val="pt-BR"/>
        </w:rPr>
        <w:t xml:space="preserve">, indicados na listagem </w:t>
      </w:r>
      <w:r w:rsidR="007B4E0E">
        <w:rPr>
          <w:rFonts w:ascii="Arial" w:eastAsia="Arial" w:hAnsi="Arial" w:cs="Arial"/>
          <w:sz w:val="21"/>
          <w:szCs w:val="21"/>
          <w:lang w:val="pt-BR"/>
        </w:rPr>
        <w:t xml:space="preserve">da </w:t>
      </w:r>
      <w:r w:rsidR="008D59B8">
        <w:rPr>
          <w:rFonts w:ascii="Arial" w:eastAsia="Arial" w:hAnsi="Arial" w:cs="Arial"/>
          <w:sz w:val="21"/>
          <w:szCs w:val="21"/>
          <w:lang w:val="pt-BR"/>
        </w:rPr>
        <w:t>EBSERH, c</w:t>
      </w:r>
      <w:r w:rsidR="001A6057" w:rsidRPr="008C65D9">
        <w:rPr>
          <w:rFonts w:ascii="Arial" w:eastAsia="Arial" w:hAnsi="Arial" w:cs="Arial"/>
          <w:sz w:val="21"/>
          <w:szCs w:val="21"/>
          <w:lang w:val="pt-BR"/>
        </w:rPr>
        <w:t>uj</w:t>
      </w:r>
      <w:r w:rsidR="008D59B8">
        <w:rPr>
          <w:rFonts w:ascii="Arial" w:eastAsia="Arial" w:hAnsi="Arial" w:cs="Arial"/>
          <w:sz w:val="21"/>
          <w:szCs w:val="21"/>
          <w:lang w:val="pt-BR"/>
        </w:rPr>
        <w:t>as inscrições são feitas nos</w:t>
      </w:r>
      <w:r w:rsidR="001A6057" w:rsidRPr="008C65D9">
        <w:rPr>
          <w:rFonts w:ascii="Arial" w:eastAsia="Arial" w:hAnsi="Arial" w:cs="Arial"/>
          <w:sz w:val="21"/>
          <w:szCs w:val="21"/>
          <w:lang w:val="pt-BR"/>
        </w:rPr>
        <w:t xml:space="preserve"> Conselhos de Farmácia e </w:t>
      </w:r>
      <w:r w:rsidR="008D59B8">
        <w:rPr>
          <w:rFonts w:ascii="Arial" w:eastAsia="Arial" w:hAnsi="Arial" w:cs="Arial"/>
          <w:sz w:val="21"/>
          <w:szCs w:val="21"/>
          <w:lang w:val="pt-BR"/>
        </w:rPr>
        <w:t>n</w:t>
      </w:r>
      <w:r w:rsidR="001A6057" w:rsidRPr="008C65D9">
        <w:rPr>
          <w:rFonts w:ascii="Arial" w:eastAsia="Arial" w:hAnsi="Arial" w:cs="Arial"/>
          <w:sz w:val="21"/>
          <w:szCs w:val="21"/>
          <w:lang w:val="pt-BR"/>
        </w:rPr>
        <w:t>o de Fisioterapia, respectivamente.</w:t>
      </w:r>
    </w:p>
    <w:p w:rsidR="008D59B8" w:rsidRPr="00E53FF9" w:rsidRDefault="008D59B8" w:rsidP="008D59B8">
      <w:pPr>
        <w:spacing w:before="240" w:after="567" w:line="360" w:lineRule="atLeast"/>
        <w:ind w:firstLine="2268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E53FF9">
        <w:rPr>
          <w:rFonts w:ascii="Arial" w:eastAsia="Arial" w:hAnsi="Arial" w:cs="Arial"/>
          <w:sz w:val="21"/>
          <w:szCs w:val="21"/>
          <w:lang w:val="pt-BR"/>
        </w:rPr>
        <w:t>A</w:t>
      </w:r>
      <w:r>
        <w:rPr>
          <w:rFonts w:ascii="Arial" w:eastAsia="Arial" w:hAnsi="Arial" w:cs="Arial"/>
          <w:sz w:val="21"/>
          <w:szCs w:val="21"/>
          <w:lang w:val="pt-BR"/>
        </w:rPr>
        <w:t>cresça-se que, a</w:t>
      </w:r>
      <w:r w:rsidRPr="00E53FF9">
        <w:rPr>
          <w:rFonts w:ascii="Arial" w:eastAsia="Arial" w:hAnsi="Arial" w:cs="Arial"/>
          <w:sz w:val="21"/>
          <w:szCs w:val="21"/>
          <w:lang w:val="pt-BR"/>
        </w:rPr>
        <w:t xml:space="preserve"> EBSERH</w:t>
      </w:r>
      <w:r>
        <w:rPr>
          <w:rFonts w:ascii="Arial" w:eastAsia="Arial" w:hAnsi="Arial" w:cs="Arial"/>
          <w:sz w:val="21"/>
          <w:szCs w:val="21"/>
          <w:lang w:val="pt-BR"/>
        </w:rPr>
        <w:t xml:space="preserve"> ao realizar interpretação restritiva da norma constitucional em debate, também</w:t>
      </w:r>
      <w:r w:rsidRPr="00E53FF9">
        <w:rPr>
          <w:rFonts w:ascii="Arial" w:eastAsia="Arial" w:hAnsi="Arial" w:cs="Arial"/>
          <w:sz w:val="21"/>
          <w:szCs w:val="21"/>
          <w:lang w:val="pt-BR"/>
        </w:rPr>
        <w:t xml:space="preserve"> violou o </w:t>
      </w:r>
      <w:r w:rsidRPr="00E53FF9">
        <w:rPr>
          <w:rFonts w:ascii="Arial" w:eastAsia="Arial" w:hAnsi="Arial" w:cs="Arial"/>
          <w:b/>
          <w:bCs/>
          <w:sz w:val="21"/>
          <w:szCs w:val="21"/>
          <w:lang w:val="pt-BR"/>
        </w:rPr>
        <w:t>princípio da legalidade</w:t>
      </w:r>
      <w:r w:rsidRPr="00E53FF9">
        <w:rPr>
          <w:rFonts w:ascii="Arial" w:eastAsia="Arial" w:hAnsi="Arial" w:cs="Arial"/>
          <w:sz w:val="21"/>
          <w:szCs w:val="21"/>
          <w:lang w:val="pt-BR"/>
        </w:rPr>
        <w:t xml:space="preserve"> sob o enfoque do Direito Administrativo (art. 37, caput, da CF), visto que “a Administração está vinculada estritamente aos mandamentos da lei, privando-se de agir além dos seus limites e disposições” (</w:t>
      </w:r>
      <w:proofErr w:type="spellStart"/>
      <w:r w:rsidRPr="00E53FF9">
        <w:rPr>
          <w:rFonts w:ascii="Arial" w:eastAsia="Arial" w:hAnsi="Arial" w:cs="Arial"/>
          <w:sz w:val="21"/>
          <w:szCs w:val="21"/>
          <w:lang w:val="pt-BR"/>
        </w:rPr>
        <w:t>STJ-AgInt</w:t>
      </w:r>
      <w:proofErr w:type="spellEnd"/>
      <w:r w:rsidRPr="00E53FF9">
        <w:rPr>
          <w:rFonts w:ascii="Arial" w:eastAsia="Arial" w:hAnsi="Arial" w:cs="Arial"/>
          <w:sz w:val="21"/>
          <w:szCs w:val="21"/>
          <w:lang w:val="pt-BR"/>
        </w:rPr>
        <w:t xml:space="preserve"> no </w:t>
      </w:r>
      <w:proofErr w:type="spellStart"/>
      <w:r w:rsidRPr="00E53FF9">
        <w:rPr>
          <w:rFonts w:ascii="Arial" w:eastAsia="Arial" w:hAnsi="Arial" w:cs="Arial"/>
          <w:sz w:val="21"/>
          <w:szCs w:val="21"/>
          <w:lang w:val="pt-BR"/>
        </w:rPr>
        <w:t>AREsp</w:t>
      </w:r>
      <w:proofErr w:type="spellEnd"/>
      <w:r w:rsidRPr="00E53FF9">
        <w:rPr>
          <w:rFonts w:ascii="Arial" w:eastAsia="Arial" w:hAnsi="Arial" w:cs="Arial"/>
          <w:sz w:val="21"/>
          <w:szCs w:val="21"/>
          <w:lang w:val="pt-BR"/>
        </w:rPr>
        <w:t xml:space="preserve"> 141849/GO)</w:t>
      </w:r>
      <w:r w:rsidRPr="00E53FF9">
        <w:rPr>
          <w:rStyle w:val="Refdenotaderodap"/>
          <w:rFonts w:ascii="Arial" w:eastAsia="Arial" w:hAnsi="Arial" w:cs="Arial"/>
          <w:sz w:val="21"/>
          <w:szCs w:val="21"/>
          <w:lang w:val="pt-BR"/>
        </w:rPr>
        <w:footnoteReference w:id="1"/>
      </w:r>
      <w:r w:rsidRPr="00E53FF9">
        <w:rPr>
          <w:rFonts w:ascii="Arial" w:eastAsia="Arial" w:hAnsi="Arial" w:cs="Arial"/>
          <w:sz w:val="21"/>
          <w:szCs w:val="21"/>
          <w:lang w:val="pt-BR"/>
        </w:rPr>
        <w:t>, sendo a ela vedado “levar a termo interpretação extensiva ou restritiva de direitos, quando a lei assim não dispuser de forma expressa” (</w:t>
      </w:r>
      <w:proofErr w:type="spellStart"/>
      <w:r w:rsidRPr="00E53FF9">
        <w:rPr>
          <w:rFonts w:ascii="Arial" w:eastAsia="Arial" w:hAnsi="Arial" w:cs="Arial"/>
          <w:sz w:val="21"/>
          <w:szCs w:val="21"/>
          <w:lang w:val="pt-BR"/>
        </w:rPr>
        <w:t>STJ-AgRg</w:t>
      </w:r>
      <w:proofErr w:type="spellEnd"/>
      <w:r w:rsidRPr="00E53FF9">
        <w:rPr>
          <w:rFonts w:ascii="Arial" w:eastAsia="Arial" w:hAnsi="Arial" w:cs="Arial"/>
          <w:sz w:val="21"/>
          <w:szCs w:val="21"/>
          <w:lang w:val="pt-BR"/>
        </w:rPr>
        <w:t xml:space="preserve"> no RMS 44099/ES)</w:t>
      </w:r>
      <w:r w:rsidRPr="00E53FF9">
        <w:rPr>
          <w:rStyle w:val="Refdenotaderodap"/>
          <w:rFonts w:ascii="Arial" w:eastAsia="Arial" w:hAnsi="Arial" w:cs="Arial"/>
          <w:sz w:val="21"/>
          <w:szCs w:val="21"/>
          <w:lang w:val="pt-BR"/>
        </w:rPr>
        <w:footnoteReference w:id="2"/>
      </w:r>
      <w:r w:rsidRPr="00E53FF9">
        <w:rPr>
          <w:rFonts w:ascii="Arial" w:eastAsia="Arial" w:hAnsi="Arial" w:cs="Arial"/>
          <w:sz w:val="21"/>
          <w:szCs w:val="21"/>
          <w:lang w:val="pt-BR"/>
        </w:rPr>
        <w:t>.</w:t>
      </w:r>
    </w:p>
    <w:p w:rsidR="00BA1455" w:rsidRDefault="0015294C" w:rsidP="00000AB9">
      <w:pPr>
        <w:spacing w:before="240" w:after="567" w:line="360" w:lineRule="atLeast"/>
        <w:ind w:firstLine="2268"/>
        <w:jc w:val="both"/>
        <w:rPr>
          <w:rFonts w:ascii="Arial" w:eastAsia="Arial" w:hAnsi="Arial" w:cs="Arial"/>
          <w:sz w:val="21"/>
          <w:szCs w:val="21"/>
          <w:lang w:val="pt-BR"/>
        </w:rPr>
      </w:pPr>
      <w:r>
        <w:rPr>
          <w:rFonts w:ascii="Arial" w:eastAsia="Arial" w:hAnsi="Arial" w:cs="Arial"/>
          <w:sz w:val="21"/>
          <w:szCs w:val="21"/>
          <w:lang w:val="pt-BR"/>
        </w:rPr>
        <w:t xml:space="preserve">Quanto </w:t>
      </w:r>
      <w:r w:rsidR="00EA3E58">
        <w:rPr>
          <w:rFonts w:ascii="Arial" w:eastAsia="Arial" w:hAnsi="Arial" w:cs="Arial"/>
          <w:sz w:val="21"/>
          <w:szCs w:val="21"/>
          <w:lang w:val="pt-BR"/>
        </w:rPr>
        <w:t>à</w:t>
      </w:r>
      <w:r>
        <w:rPr>
          <w:rFonts w:ascii="Arial" w:eastAsia="Arial" w:hAnsi="Arial" w:cs="Arial"/>
          <w:sz w:val="21"/>
          <w:szCs w:val="21"/>
          <w:lang w:val="pt-BR"/>
        </w:rPr>
        <w:t xml:space="preserve"> aderência </w:t>
      </w:r>
      <w:r w:rsidR="00E53FF9">
        <w:rPr>
          <w:rFonts w:ascii="Arial" w:eastAsia="Arial" w:hAnsi="Arial" w:cs="Arial"/>
          <w:sz w:val="21"/>
          <w:szCs w:val="21"/>
          <w:lang w:val="pt-BR"/>
        </w:rPr>
        <w:t>entre as</w:t>
      </w:r>
      <w:r>
        <w:rPr>
          <w:rFonts w:ascii="Arial" w:eastAsia="Arial" w:hAnsi="Arial" w:cs="Arial"/>
          <w:sz w:val="21"/>
          <w:szCs w:val="21"/>
          <w:lang w:val="pt-BR"/>
        </w:rPr>
        <w:t xml:space="preserve"> atividades desempenhadas </w:t>
      </w:r>
      <w:r w:rsidR="00E53FF9">
        <w:rPr>
          <w:rFonts w:ascii="Arial" w:eastAsia="Arial" w:hAnsi="Arial" w:cs="Arial"/>
          <w:sz w:val="21"/>
          <w:szCs w:val="21"/>
          <w:lang w:val="pt-BR"/>
        </w:rPr>
        <w:t xml:space="preserve">e os </w:t>
      </w:r>
      <w:r>
        <w:rPr>
          <w:rFonts w:ascii="Arial" w:eastAsia="Arial" w:hAnsi="Arial" w:cs="Arial"/>
          <w:sz w:val="21"/>
          <w:szCs w:val="21"/>
          <w:lang w:val="pt-BR"/>
        </w:rPr>
        <w:t>edita</w:t>
      </w:r>
      <w:r w:rsidR="00EA3E58">
        <w:rPr>
          <w:rFonts w:ascii="Arial" w:eastAsia="Arial" w:hAnsi="Arial" w:cs="Arial"/>
          <w:sz w:val="21"/>
          <w:szCs w:val="21"/>
          <w:lang w:val="pt-BR"/>
        </w:rPr>
        <w:t>is</w:t>
      </w:r>
      <w:r>
        <w:rPr>
          <w:rFonts w:ascii="Arial" w:eastAsia="Arial" w:hAnsi="Arial" w:cs="Arial"/>
          <w:sz w:val="21"/>
          <w:szCs w:val="21"/>
          <w:lang w:val="pt-BR"/>
        </w:rPr>
        <w:t xml:space="preserve"> do</w:t>
      </w:r>
      <w:r w:rsidR="00EA3E58">
        <w:rPr>
          <w:rFonts w:ascii="Arial" w:eastAsia="Arial" w:hAnsi="Arial" w:cs="Arial"/>
          <w:sz w:val="21"/>
          <w:szCs w:val="21"/>
          <w:lang w:val="pt-BR"/>
        </w:rPr>
        <w:t>s</w:t>
      </w:r>
      <w:r>
        <w:rPr>
          <w:rFonts w:ascii="Arial" w:eastAsia="Arial" w:hAnsi="Arial" w:cs="Arial"/>
          <w:sz w:val="21"/>
          <w:szCs w:val="21"/>
          <w:lang w:val="pt-BR"/>
        </w:rPr>
        <w:t xml:space="preserve"> concurso</w:t>
      </w:r>
      <w:r w:rsidR="00EA3E58">
        <w:rPr>
          <w:rFonts w:ascii="Arial" w:eastAsia="Arial" w:hAnsi="Arial" w:cs="Arial"/>
          <w:sz w:val="21"/>
          <w:szCs w:val="21"/>
          <w:lang w:val="pt-BR"/>
        </w:rPr>
        <w:t>s</w:t>
      </w:r>
      <w:r>
        <w:rPr>
          <w:rFonts w:ascii="Arial" w:eastAsia="Arial" w:hAnsi="Arial" w:cs="Arial"/>
          <w:sz w:val="21"/>
          <w:szCs w:val="21"/>
          <w:lang w:val="pt-BR"/>
        </w:rPr>
        <w:t xml:space="preserve"> público</w:t>
      </w:r>
      <w:r w:rsidR="00EA3E58">
        <w:rPr>
          <w:rFonts w:ascii="Arial" w:eastAsia="Arial" w:hAnsi="Arial" w:cs="Arial"/>
          <w:sz w:val="21"/>
          <w:szCs w:val="21"/>
          <w:lang w:val="pt-BR"/>
        </w:rPr>
        <w:t>s</w:t>
      </w:r>
      <w:r w:rsidR="00E53FF9">
        <w:rPr>
          <w:rFonts w:ascii="Arial" w:eastAsia="Arial" w:hAnsi="Arial" w:cs="Arial"/>
          <w:sz w:val="21"/>
          <w:szCs w:val="21"/>
          <w:lang w:val="pt-BR"/>
        </w:rPr>
        <w:t xml:space="preserve"> realizados pela</w:t>
      </w:r>
      <w:r w:rsidR="00EA3E58">
        <w:rPr>
          <w:rFonts w:ascii="Arial" w:eastAsia="Arial" w:hAnsi="Arial" w:cs="Arial"/>
          <w:sz w:val="21"/>
          <w:szCs w:val="21"/>
          <w:lang w:val="pt-BR"/>
        </w:rPr>
        <w:t xml:space="preserve"> EBSERH</w:t>
      </w:r>
      <w:r>
        <w:rPr>
          <w:rFonts w:ascii="Arial" w:eastAsia="Arial" w:hAnsi="Arial" w:cs="Arial"/>
          <w:sz w:val="21"/>
          <w:szCs w:val="21"/>
          <w:lang w:val="pt-BR"/>
        </w:rPr>
        <w:t xml:space="preserve">, </w:t>
      </w:r>
      <w:r w:rsidR="00E53FF9">
        <w:rPr>
          <w:rFonts w:ascii="Arial" w:eastAsia="Arial" w:hAnsi="Arial" w:cs="Arial"/>
          <w:sz w:val="21"/>
          <w:szCs w:val="21"/>
          <w:lang w:val="pt-BR"/>
        </w:rPr>
        <w:t>é possível verificar</w:t>
      </w:r>
      <w:r w:rsidR="00BA1455">
        <w:rPr>
          <w:rFonts w:ascii="Arial" w:eastAsia="Arial" w:hAnsi="Arial" w:cs="Arial"/>
          <w:sz w:val="21"/>
          <w:szCs w:val="21"/>
          <w:lang w:val="pt-BR"/>
        </w:rPr>
        <w:t xml:space="preserve"> que os </w:t>
      </w:r>
      <w:r>
        <w:rPr>
          <w:rFonts w:ascii="Arial" w:eastAsia="Arial" w:hAnsi="Arial" w:cs="Arial"/>
          <w:sz w:val="21"/>
          <w:szCs w:val="21"/>
          <w:lang w:val="pt-BR"/>
        </w:rPr>
        <w:t xml:space="preserve">trabalhadores </w:t>
      </w:r>
      <w:r w:rsidR="00BA1455">
        <w:rPr>
          <w:rFonts w:ascii="Arial" w:eastAsia="Arial" w:hAnsi="Arial" w:cs="Arial"/>
          <w:sz w:val="21"/>
          <w:szCs w:val="21"/>
          <w:lang w:val="pt-BR"/>
        </w:rPr>
        <w:t>que ocupam as profissões listadas</w:t>
      </w:r>
      <w:r w:rsidR="007B4E0E">
        <w:rPr>
          <w:rFonts w:ascii="Arial" w:eastAsia="Arial" w:hAnsi="Arial" w:cs="Arial"/>
          <w:sz w:val="21"/>
          <w:szCs w:val="21"/>
          <w:lang w:val="pt-BR"/>
        </w:rPr>
        <w:t xml:space="preserve"> </w:t>
      </w:r>
      <w:r w:rsidR="00BA1455">
        <w:rPr>
          <w:rFonts w:ascii="Arial" w:eastAsia="Arial" w:hAnsi="Arial" w:cs="Arial"/>
          <w:sz w:val="21"/>
          <w:szCs w:val="21"/>
          <w:lang w:val="pt-BR"/>
        </w:rPr>
        <w:t xml:space="preserve">foram admitidos </w:t>
      </w:r>
      <w:r w:rsidR="003D4A20">
        <w:rPr>
          <w:rFonts w:ascii="Arial" w:eastAsia="Arial" w:hAnsi="Arial" w:cs="Arial"/>
          <w:sz w:val="21"/>
          <w:szCs w:val="21"/>
          <w:lang w:val="pt-BR"/>
        </w:rPr>
        <w:t>com</w:t>
      </w:r>
      <w:r w:rsidR="00E6309E">
        <w:rPr>
          <w:rFonts w:ascii="Arial" w:eastAsia="Arial" w:hAnsi="Arial" w:cs="Arial"/>
          <w:sz w:val="21"/>
          <w:szCs w:val="21"/>
          <w:lang w:val="pt-BR"/>
        </w:rPr>
        <w:t xml:space="preserve"> a</w:t>
      </w:r>
      <w:r w:rsidR="003D4A20">
        <w:rPr>
          <w:rFonts w:ascii="Arial" w:eastAsia="Arial" w:hAnsi="Arial" w:cs="Arial"/>
          <w:sz w:val="21"/>
          <w:szCs w:val="21"/>
          <w:lang w:val="pt-BR"/>
        </w:rPr>
        <w:t xml:space="preserve"> possibilidade de poderem acumular cargo ou emprego público</w:t>
      </w:r>
      <w:r w:rsidR="007B4E0E">
        <w:rPr>
          <w:rFonts w:ascii="Arial" w:eastAsia="Arial" w:hAnsi="Arial" w:cs="Arial"/>
          <w:sz w:val="21"/>
          <w:szCs w:val="21"/>
          <w:lang w:val="pt-BR"/>
        </w:rPr>
        <w:t>,</w:t>
      </w:r>
      <w:r w:rsidR="003D4A20">
        <w:rPr>
          <w:rFonts w:ascii="Arial" w:eastAsia="Arial" w:hAnsi="Arial" w:cs="Arial"/>
          <w:sz w:val="21"/>
          <w:szCs w:val="21"/>
          <w:lang w:val="pt-BR"/>
        </w:rPr>
        <w:t xml:space="preserve"> nos termos da exceção constitucional </w:t>
      </w:r>
      <w:r w:rsidR="003D4A20" w:rsidRPr="003D4A20">
        <w:rPr>
          <w:rFonts w:ascii="Arial" w:eastAsia="Arial" w:hAnsi="Arial" w:cs="Arial"/>
          <w:sz w:val="21"/>
          <w:szCs w:val="21"/>
          <w:lang w:val="pt-BR"/>
        </w:rPr>
        <w:t>do Art.37, inciso XVI, da Constituição Federal</w:t>
      </w:r>
      <w:r w:rsidR="003D4A20">
        <w:rPr>
          <w:rFonts w:ascii="Arial" w:eastAsia="Arial" w:hAnsi="Arial" w:cs="Arial"/>
          <w:sz w:val="21"/>
          <w:szCs w:val="21"/>
          <w:lang w:val="pt-BR"/>
        </w:rPr>
        <w:t xml:space="preserve"> e do parecer da CGU</w:t>
      </w:r>
      <w:r w:rsidR="00E6309E">
        <w:rPr>
          <w:rFonts w:ascii="Arial" w:eastAsia="Arial" w:hAnsi="Arial" w:cs="Arial"/>
          <w:sz w:val="21"/>
          <w:szCs w:val="21"/>
          <w:lang w:val="pt-BR"/>
        </w:rPr>
        <w:t xml:space="preserve">. Vejamos: </w:t>
      </w:r>
    </w:p>
    <w:p w:rsidR="00E6309E" w:rsidRPr="00E6309E" w:rsidRDefault="00E6309E" w:rsidP="00E6309E">
      <w:pPr>
        <w:spacing w:before="240" w:after="567" w:line="360" w:lineRule="atLeast"/>
        <w:ind w:left="2268"/>
        <w:contextualSpacing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6309E">
        <w:rPr>
          <w:rFonts w:ascii="Arial" w:eastAsia="Arial" w:hAnsi="Arial" w:cs="Arial"/>
          <w:sz w:val="20"/>
          <w:szCs w:val="20"/>
          <w:lang w:val="pt-BR"/>
        </w:rPr>
        <w:lastRenderedPageBreak/>
        <w:t>4.1. O(A) candidato(a) aprovado(a) e convocado(a) no Concurso Público de que trata este Edital será contratado(a) se atender às seguintes exigências, na data da admissão:</w:t>
      </w:r>
    </w:p>
    <w:p w:rsidR="00E6309E" w:rsidRPr="00E6309E" w:rsidRDefault="00E6309E" w:rsidP="00E6309E">
      <w:pPr>
        <w:spacing w:before="240" w:after="567" w:line="360" w:lineRule="atLeast"/>
        <w:ind w:left="2268"/>
        <w:contextualSpacing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6309E">
        <w:rPr>
          <w:rFonts w:ascii="Arial" w:eastAsia="Arial" w:hAnsi="Arial" w:cs="Arial"/>
          <w:sz w:val="20"/>
          <w:szCs w:val="20"/>
          <w:lang w:val="pt-BR"/>
        </w:rPr>
        <w:t>[...]</w:t>
      </w:r>
    </w:p>
    <w:p w:rsidR="00E6309E" w:rsidRDefault="00BA1455" w:rsidP="00E6309E">
      <w:pPr>
        <w:spacing w:before="240" w:after="567" w:line="276" w:lineRule="auto"/>
        <w:ind w:left="2268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BA1455">
        <w:rPr>
          <w:rFonts w:ascii="Arial" w:eastAsia="Arial" w:hAnsi="Arial" w:cs="Arial"/>
          <w:sz w:val="20"/>
          <w:szCs w:val="20"/>
          <w:lang w:val="pt-BR"/>
        </w:rPr>
        <w:t>o) não estar ocupando cargo ou emprego em outro ente ou entidade da administração pública direta ou indireta da União, dos Estados, do Distrito Federal e dos Municípios, nem ser empregado(a) ou servidor(a) de suas subsidiárias e controladas, salvo os casos de acumulação de cargos públicos autorizados na forma do Art.37, inciso XVI, da Constituição Federal, e do Parecer Plenário nº 01/2017/CNU-DECOR/CGU/AGU, da Advocacia Geral da União, aprovado por Despacho Presidencial publicado no Diário Oficial da União de 12 de abril de 2019.</w:t>
      </w:r>
    </w:p>
    <w:p w:rsidR="00EA3E58" w:rsidRPr="00EA3E58" w:rsidRDefault="00EA3E58" w:rsidP="00EA3E58">
      <w:pPr>
        <w:spacing w:before="240" w:after="567" w:line="360" w:lineRule="atLeast"/>
        <w:ind w:firstLine="2268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EA3E58">
        <w:rPr>
          <w:rFonts w:ascii="Arial" w:eastAsia="Arial" w:hAnsi="Arial" w:cs="Arial"/>
          <w:sz w:val="21"/>
          <w:szCs w:val="21"/>
          <w:lang w:val="pt-BR"/>
        </w:rPr>
        <w:t xml:space="preserve">Parecer Plenário nº 01/2017/CNU-DECOR/CGU/AGU: </w:t>
      </w:r>
    </w:p>
    <w:p w:rsidR="00EA3E58" w:rsidRDefault="00EA3E58" w:rsidP="00E6309E">
      <w:pPr>
        <w:spacing w:before="240" w:after="567" w:line="276" w:lineRule="auto"/>
        <w:ind w:left="2268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A3E58">
        <w:rPr>
          <w:rFonts w:ascii="Arial" w:eastAsia="Arial" w:hAnsi="Arial" w:cs="Arial"/>
          <w:sz w:val="20"/>
          <w:szCs w:val="20"/>
          <w:lang w:val="pt-BR"/>
        </w:rPr>
        <w:t>1. Segundo entendimento adotado pelo STF e pelo TCU, a aferição da compatibilidade de horários a que se refere o art. 37, inciso XVI, da Constituição de 1988 deve se basear na análise da situação fática a que se submete o servidor público, sendo insuficiente o cotejo do somatório de horas resultante da acumulação de cargos ou empregos públicos com padrão estabelecido em ato infralegal. Revisão do Parecer GQ-145.</w:t>
      </w:r>
    </w:p>
    <w:p w:rsidR="00E6309E" w:rsidRPr="00E6309E" w:rsidRDefault="00E53FF9" w:rsidP="00E6309E">
      <w:pPr>
        <w:spacing w:before="240" w:after="567" w:line="360" w:lineRule="atLeast"/>
        <w:ind w:firstLine="2268"/>
        <w:jc w:val="both"/>
        <w:rPr>
          <w:rFonts w:ascii="Arial" w:eastAsia="Arial" w:hAnsi="Arial" w:cs="Arial"/>
          <w:sz w:val="21"/>
          <w:szCs w:val="21"/>
          <w:lang w:val="pt-BR"/>
        </w:rPr>
      </w:pPr>
      <w:r>
        <w:rPr>
          <w:rFonts w:ascii="Arial" w:eastAsia="Arial" w:hAnsi="Arial" w:cs="Arial"/>
          <w:sz w:val="21"/>
          <w:szCs w:val="21"/>
          <w:lang w:val="pt-BR"/>
        </w:rPr>
        <w:t>Conclui-se que não há</w:t>
      </w:r>
      <w:r w:rsidR="00EA3E58">
        <w:rPr>
          <w:rFonts w:ascii="Arial" w:eastAsia="Arial" w:hAnsi="Arial" w:cs="Arial"/>
          <w:sz w:val="21"/>
          <w:szCs w:val="21"/>
          <w:lang w:val="pt-BR"/>
        </w:rPr>
        <w:t xml:space="preserve">, tanto </w:t>
      </w:r>
      <w:r>
        <w:rPr>
          <w:rFonts w:ascii="Arial" w:eastAsia="Arial" w:hAnsi="Arial" w:cs="Arial"/>
          <w:sz w:val="21"/>
          <w:szCs w:val="21"/>
          <w:lang w:val="pt-BR"/>
        </w:rPr>
        <w:t>no</w:t>
      </w:r>
      <w:r w:rsidR="00E6309E" w:rsidRPr="00E6309E">
        <w:rPr>
          <w:rFonts w:ascii="Arial" w:eastAsia="Arial" w:hAnsi="Arial" w:cs="Arial"/>
          <w:sz w:val="21"/>
          <w:szCs w:val="21"/>
          <w:lang w:val="pt-BR"/>
        </w:rPr>
        <w:t xml:space="preserve"> edital </w:t>
      </w:r>
      <w:r w:rsidR="00EA3E58">
        <w:rPr>
          <w:rFonts w:ascii="Arial" w:eastAsia="Arial" w:hAnsi="Arial" w:cs="Arial"/>
          <w:sz w:val="21"/>
          <w:szCs w:val="21"/>
          <w:lang w:val="pt-BR"/>
        </w:rPr>
        <w:t xml:space="preserve">quanto </w:t>
      </w:r>
      <w:r>
        <w:rPr>
          <w:rFonts w:ascii="Arial" w:eastAsia="Arial" w:hAnsi="Arial" w:cs="Arial"/>
          <w:sz w:val="21"/>
          <w:szCs w:val="21"/>
          <w:lang w:val="pt-BR"/>
        </w:rPr>
        <w:t>no</w:t>
      </w:r>
      <w:r w:rsidR="00EA3E58">
        <w:rPr>
          <w:rFonts w:ascii="Arial" w:eastAsia="Arial" w:hAnsi="Arial" w:cs="Arial"/>
          <w:sz w:val="21"/>
          <w:szCs w:val="21"/>
          <w:lang w:val="pt-BR"/>
        </w:rPr>
        <w:t xml:space="preserve"> </w:t>
      </w:r>
      <w:r w:rsidR="00E6309E" w:rsidRPr="00E6309E">
        <w:rPr>
          <w:rFonts w:ascii="Arial" w:eastAsia="Arial" w:hAnsi="Arial" w:cs="Arial"/>
          <w:sz w:val="21"/>
          <w:szCs w:val="21"/>
          <w:lang w:val="pt-BR"/>
        </w:rPr>
        <w:t>Parecer da CGU</w:t>
      </w:r>
      <w:r>
        <w:rPr>
          <w:rFonts w:ascii="Arial" w:eastAsia="Arial" w:hAnsi="Arial" w:cs="Arial"/>
          <w:sz w:val="21"/>
          <w:szCs w:val="21"/>
          <w:lang w:val="pt-BR"/>
        </w:rPr>
        <w:t xml:space="preserve">, </w:t>
      </w:r>
      <w:r w:rsidR="00E6309E" w:rsidRPr="00E6309E">
        <w:rPr>
          <w:rFonts w:ascii="Arial" w:eastAsia="Arial" w:hAnsi="Arial" w:cs="Arial"/>
          <w:sz w:val="21"/>
          <w:szCs w:val="21"/>
          <w:lang w:val="pt-BR"/>
        </w:rPr>
        <w:t>qualquer</w:t>
      </w:r>
      <w:r w:rsidR="00EA3E58">
        <w:rPr>
          <w:rFonts w:ascii="Arial" w:eastAsia="Arial" w:hAnsi="Arial" w:cs="Arial"/>
          <w:sz w:val="21"/>
          <w:szCs w:val="21"/>
          <w:lang w:val="pt-BR"/>
        </w:rPr>
        <w:t xml:space="preserve"> indicação</w:t>
      </w:r>
      <w:r>
        <w:rPr>
          <w:rFonts w:ascii="Arial" w:eastAsia="Arial" w:hAnsi="Arial" w:cs="Arial"/>
          <w:sz w:val="21"/>
          <w:szCs w:val="21"/>
          <w:lang w:val="pt-BR"/>
        </w:rPr>
        <w:t xml:space="preserve"> interpretativa</w:t>
      </w:r>
      <w:r w:rsidR="00EA3E58">
        <w:rPr>
          <w:rFonts w:ascii="Arial" w:eastAsia="Arial" w:hAnsi="Arial" w:cs="Arial"/>
          <w:sz w:val="21"/>
          <w:szCs w:val="21"/>
          <w:lang w:val="pt-BR"/>
        </w:rPr>
        <w:t xml:space="preserve"> </w:t>
      </w:r>
      <w:r w:rsidR="009C496A">
        <w:rPr>
          <w:rFonts w:ascii="Arial" w:eastAsia="Arial" w:hAnsi="Arial" w:cs="Arial"/>
          <w:sz w:val="21"/>
          <w:szCs w:val="21"/>
          <w:lang w:val="pt-BR"/>
        </w:rPr>
        <w:t xml:space="preserve">restritiva </w:t>
      </w:r>
      <w:r w:rsidR="00EA3E58">
        <w:rPr>
          <w:rFonts w:ascii="Arial" w:eastAsia="Arial" w:hAnsi="Arial" w:cs="Arial"/>
          <w:sz w:val="21"/>
          <w:szCs w:val="21"/>
          <w:lang w:val="pt-BR"/>
        </w:rPr>
        <w:t xml:space="preserve">de que somente a LEI </w:t>
      </w:r>
      <w:r>
        <w:rPr>
          <w:rFonts w:ascii="Arial" w:eastAsia="Arial" w:hAnsi="Arial" w:cs="Arial"/>
          <w:sz w:val="21"/>
          <w:szCs w:val="21"/>
          <w:lang w:val="pt-BR"/>
        </w:rPr>
        <w:t>pode</w:t>
      </w:r>
      <w:r w:rsidR="007B4E0E">
        <w:rPr>
          <w:rFonts w:ascii="Arial" w:eastAsia="Arial" w:hAnsi="Arial" w:cs="Arial"/>
          <w:sz w:val="21"/>
          <w:szCs w:val="21"/>
          <w:lang w:val="pt-BR"/>
        </w:rPr>
        <w:t xml:space="preserve"> ser</w:t>
      </w:r>
      <w:r w:rsidR="00EA3E58">
        <w:rPr>
          <w:rFonts w:ascii="Arial" w:eastAsia="Arial" w:hAnsi="Arial" w:cs="Arial"/>
          <w:sz w:val="21"/>
          <w:szCs w:val="21"/>
          <w:lang w:val="pt-BR"/>
        </w:rPr>
        <w:t xml:space="preserve"> considerada como única espécie normativa disponível para aferir </w:t>
      </w:r>
      <w:r>
        <w:rPr>
          <w:rFonts w:ascii="Arial" w:eastAsia="Arial" w:hAnsi="Arial" w:cs="Arial"/>
          <w:sz w:val="21"/>
          <w:szCs w:val="21"/>
          <w:lang w:val="pt-BR"/>
        </w:rPr>
        <w:t>a natureza regulamentar das</w:t>
      </w:r>
      <w:r w:rsidR="00EA3E58">
        <w:rPr>
          <w:rFonts w:ascii="Arial" w:eastAsia="Arial" w:hAnsi="Arial" w:cs="Arial"/>
          <w:sz w:val="21"/>
          <w:szCs w:val="21"/>
          <w:lang w:val="pt-BR"/>
        </w:rPr>
        <w:t xml:space="preserve"> profissões listadas pela empresa</w:t>
      </w:r>
      <w:r>
        <w:rPr>
          <w:rFonts w:ascii="Arial" w:eastAsia="Arial" w:hAnsi="Arial" w:cs="Arial"/>
          <w:sz w:val="21"/>
          <w:szCs w:val="21"/>
          <w:lang w:val="pt-BR"/>
        </w:rPr>
        <w:t>.</w:t>
      </w:r>
    </w:p>
    <w:p w:rsidR="004E4D26" w:rsidRDefault="009E2A73" w:rsidP="004E4D26">
      <w:pPr>
        <w:spacing w:before="240" w:after="567" w:line="360" w:lineRule="atLeast"/>
        <w:ind w:firstLine="2268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8C65D9">
        <w:rPr>
          <w:rFonts w:ascii="Arial" w:eastAsia="Arial" w:hAnsi="Arial" w:cs="Arial"/>
          <w:sz w:val="21"/>
          <w:szCs w:val="21"/>
          <w:lang w:val="pt-BR"/>
        </w:rPr>
        <w:t>Diante desse</w:t>
      </w:r>
      <w:r w:rsidR="00DE3479" w:rsidRPr="008C65D9">
        <w:rPr>
          <w:rFonts w:ascii="Arial" w:eastAsia="Arial" w:hAnsi="Arial" w:cs="Arial"/>
          <w:sz w:val="21"/>
          <w:szCs w:val="21"/>
          <w:lang w:val="pt-BR"/>
        </w:rPr>
        <w:t>s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 fundamentos, entende-se essencial a intervenção desta Justiça Especializada</w:t>
      </w:r>
      <w:r w:rsidR="00FF1A74">
        <w:rPr>
          <w:rFonts w:ascii="Arial" w:eastAsia="Arial" w:hAnsi="Arial" w:cs="Arial"/>
          <w:sz w:val="21"/>
          <w:szCs w:val="21"/>
          <w:lang w:val="pt-BR"/>
        </w:rPr>
        <w:t xml:space="preserve"> </w:t>
      </w:r>
      <w:r w:rsidR="000A4339">
        <w:rPr>
          <w:rFonts w:ascii="Arial" w:eastAsia="Arial" w:hAnsi="Arial" w:cs="Arial"/>
          <w:sz w:val="21"/>
          <w:szCs w:val="21"/>
          <w:lang w:val="pt-BR"/>
        </w:rPr>
        <w:t>para determi</w:t>
      </w:r>
      <w:r w:rsidR="00FF1A74">
        <w:rPr>
          <w:rFonts w:ascii="Arial" w:eastAsia="Arial" w:hAnsi="Arial" w:cs="Arial"/>
          <w:sz w:val="21"/>
          <w:szCs w:val="21"/>
          <w:lang w:val="pt-BR"/>
        </w:rPr>
        <w:t>nar</w:t>
      </w:r>
      <w:r w:rsidR="000A4339">
        <w:rPr>
          <w:rFonts w:ascii="Arial" w:eastAsia="Arial" w:hAnsi="Arial" w:cs="Arial"/>
          <w:sz w:val="21"/>
          <w:szCs w:val="21"/>
          <w:lang w:val="pt-BR"/>
        </w:rPr>
        <w:t xml:space="preserve"> que a EBSERH se abstenha de impor</w:t>
      </w:r>
      <w:r w:rsidR="00FF1A74">
        <w:rPr>
          <w:rFonts w:ascii="Arial" w:eastAsia="Arial" w:hAnsi="Arial" w:cs="Arial"/>
          <w:sz w:val="21"/>
          <w:szCs w:val="21"/>
          <w:lang w:val="pt-BR"/>
        </w:rPr>
        <w:t xml:space="preserve"> </w:t>
      </w:r>
      <w:r w:rsidR="003B371E">
        <w:rPr>
          <w:rFonts w:ascii="Arial" w:eastAsia="Arial" w:hAnsi="Arial" w:cs="Arial"/>
          <w:sz w:val="21"/>
          <w:szCs w:val="21"/>
          <w:lang w:val="pt-BR"/>
        </w:rPr>
        <w:t xml:space="preserve">aos </w:t>
      </w:r>
      <w:r w:rsidR="00FF1A74">
        <w:rPr>
          <w:rFonts w:ascii="Arial" w:eastAsia="Arial" w:hAnsi="Arial" w:cs="Arial"/>
          <w:sz w:val="21"/>
          <w:szCs w:val="21"/>
          <w:lang w:val="pt-BR"/>
        </w:rPr>
        <w:t>profissionais indicad</w:t>
      </w:r>
      <w:r w:rsidR="007E6356">
        <w:rPr>
          <w:rFonts w:ascii="Arial" w:eastAsia="Arial" w:hAnsi="Arial" w:cs="Arial"/>
          <w:sz w:val="21"/>
          <w:szCs w:val="21"/>
          <w:lang w:val="pt-BR"/>
        </w:rPr>
        <w:t>o</w:t>
      </w:r>
      <w:r w:rsidR="00FF1A74">
        <w:rPr>
          <w:rFonts w:ascii="Arial" w:eastAsia="Arial" w:hAnsi="Arial" w:cs="Arial"/>
          <w:sz w:val="21"/>
          <w:szCs w:val="21"/>
          <w:lang w:val="pt-BR"/>
        </w:rPr>
        <w:t>s na listagem</w:t>
      </w:r>
      <w:r w:rsidR="00441036">
        <w:rPr>
          <w:rFonts w:ascii="Arial" w:eastAsia="Arial" w:hAnsi="Arial" w:cs="Arial"/>
          <w:sz w:val="21"/>
          <w:szCs w:val="21"/>
          <w:lang w:val="pt-BR"/>
        </w:rPr>
        <w:t xml:space="preserve">, </w:t>
      </w:r>
      <w:r w:rsidR="00FF1A74">
        <w:rPr>
          <w:rFonts w:ascii="Arial" w:eastAsia="Arial" w:hAnsi="Arial" w:cs="Arial"/>
          <w:sz w:val="21"/>
          <w:szCs w:val="21"/>
          <w:lang w:val="pt-BR"/>
        </w:rPr>
        <w:t>a</w:t>
      </w:r>
      <w:r w:rsidR="00B53314">
        <w:rPr>
          <w:rFonts w:ascii="Arial" w:eastAsia="Arial" w:hAnsi="Arial" w:cs="Arial"/>
          <w:sz w:val="21"/>
          <w:szCs w:val="21"/>
          <w:lang w:val="pt-BR"/>
        </w:rPr>
        <w:t xml:space="preserve"> escolha </w:t>
      </w:r>
      <w:r w:rsidR="00FF1A74">
        <w:rPr>
          <w:rFonts w:ascii="Arial" w:eastAsia="Arial" w:hAnsi="Arial" w:cs="Arial"/>
          <w:sz w:val="21"/>
          <w:szCs w:val="21"/>
          <w:lang w:val="pt-BR"/>
        </w:rPr>
        <w:t xml:space="preserve">por um </w:t>
      </w:r>
      <w:r w:rsidR="00B53314">
        <w:rPr>
          <w:rFonts w:ascii="Arial" w:eastAsia="Arial" w:hAnsi="Arial" w:cs="Arial"/>
          <w:sz w:val="21"/>
          <w:szCs w:val="21"/>
          <w:lang w:val="pt-BR"/>
        </w:rPr>
        <w:t xml:space="preserve">dos cargos </w:t>
      </w:r>
      <w:r w:rsidR="00FF1A74">
        <w:rPr>
          <w:rFonts w:ascii="Arial" w:eastAsia="Arial" w:hAnsi="Arial" w:cs="Arial"/>
          <w:sz w:val="21"/>
          <w:szCs w:val="21"/>
          <w:lang w:val="pt-BR"/>
        </w:rPr>
        <w:t>públicos</w:t>
      </w:r>
      <w:r w:rsidR="00EA3E58">
        <w:rPr>
          <w:rFonts w:ascii="Arial" w:eastAsia="Arial" w:hAnsi="Arial" w:cs="Arial"/>
          <w:sz w:val="21"/>
          <w:szCs w:val="21"/>
          <w:lang w:val="pt-BR"/>
        </w:rPr>
        <w:t xml:space="preserve"> em cumul</w:t>
      </w:r>
      <w:r w:rsidR="00871A84">
        <w:rPr>
          <w:rFonts w:ascii="Arial" w:eastAsia="Arial" w:hAnsi="Arial" w:cs="Arial"/>
          <w:sz w:val="21"/>
          <w:szCs w:val="21"/>
          <w:lang w:val="pt-BR"/>
        </w:rPr>
        <w:t>ação</w:t>
      </w:r>
      <w:r w:rsidR="00FF1A74">
        <w:rPr>
          <w:rFonts w:ascii="Arial" w:eastAsia="Arial" w:hAnsi="Arial" w:cs="Arial"/>
          <w:sz w:val="21"/>
          <w:szCs w:val="21"/>
          <w:lang w:val="pt-BR"/>
        </w:rPr>
        <w:t>,</w:t>
      </w:r>
      <w:r w:rsidR="000A4339">
        <w:rPr>
          <w:rFonts w:ascii="Arial" w:eastAsia="Arial" w:hAnsi="Arial" w:cs="Arial"/>
          <w:sz w:val="21"/>
          <w:szCs w:val="21"/>
          <w:lang w:val="pt-BR"/>
        </w:rPr>
        <w:t xml:space="preserve"> com fundamento na interpretação restritiva </w:t>
      </w:r>
      <w:r w:rsidR="00FF1A74">
        <w:rPr>
          <w:rFonts w:ascii="Arial" w:eastAsia="Arial" w:hAnsi="Arial" w:cs="Arial"/>
          <w:sz w:val="21"/>
          <w:szCs w:val="21"/>
          <w:lang w:val="pt-BR"/>
        </w:rPr>
        <w:t xml:space="preserve">do </w:t>
      </w:r>
      <w:r w:rsidR="00FF1A74" w:rsidRPr="003B371E">
        <w:rPr>
          <w:rFonts w:ascii="Arial" w:eastAsia="Arial" w:hAnsi="Arial" w:cs="Arial"/>
          <w:sz w:val="21"/>
          <w:szCs w:val="21"/>
          <w:lang w:val="pt-BR"/>
        </w:rPr>
        <w:t>art. 37, inciso XVI, alínea “c’ da CF de 1988</w:t>
      </w:r>
      <w:r w:rsidR="00ED303D">
        <w:rPr>
          <w:rFonts w:ascii="Arial" w:eastAsia="Arial" w:hAnsi="Arial" w:cs="Arial"/>
          <w:sz w:val="21"/>
          <w:szCs w:val="21"/>
          <w:lang w:val="pt-BR"/>
        </w:rPr>
        <w:t>.</w:t>
      </w:r>
    </w:p>
    <w:p w:rsidR="002E5D27" w:rsidRPr="008C65D9" w:rsidRDefault="005E3923">
      <w:pPr>
        <w:spacing w:before="240" w:after="567" w:line="360" w:lineRule="atLeast"/>
        <w:jc w:val="both"/>
        <w:rPr>
          <w:rFonts w:ascii="Arial" w:hAnsi="Arial" w:cs="Arial"/>
          <w:sz w:val="21"/>
          <w:szCs w:val="21"/>
          <w:lang w:val="pt-BR"/>
        </w:rPr>
      </w:pPr>
      <w:r w:rsidRPr="008C65D9">
        <w:rPr>
          <w:rFonts w:ascii="Arial" w:eastAsia="Arial" w:hAnsi="Arial" w:cs="Arial"/>
          <w:b/>
          <w:bCs/>
          <w:sz w:val="21"/>
          <w:szCs w:val="21"/>
          <w:lang w:val="pt-BR"/>
        </w:rPr>
        <w:t xml:space="preserve">3 TUTELA </w:t>
      </w:r>
      <w:r w:rsidR="00D72DA4">
        <w:rPr>
          <w:rFonts w:ascii="Arial" w:eastAsia="Arial" w:hAnsi="Arial" w:cs="Arial"/>
          <w:b/>
          <w:bCs/>
          <w:sz w:val="21"/>
          <w:szCs w:val="21"/>
          <w:lang w:val="pt-BR"/>
        </w:rPr>
        <w:t xml:space="preserve">INIBITÓRIA </w:t>
      </w:r>
    </w:p>
    <w:p w:rsidR="002E5D27" w:rsidRDefault="007E6356" w:rsidP="007E6356">
      <w:pPr>
        <w:spacing w:before="240" w:after="567" w:line="360" w:lineRule="atLeast"/>
        <w:ind w:firstLine="2268"/>
        <w:jc w:val="both"/>
        <w:rPr>
          <w:rFonts w:ascii="Arial" w:eastAsia="Arial" w:hAnsi="Arial" w:cs="Arial"/>
          <w:sz w:val="21"/>
          <w:szCs w:val="21"/>
          <w:lang w:val="pt-BR"/>
        </w:rPr>
      </w:pPr>
      <w:r>
        <w:rPr>
          <w:rFonts w:ascii="Arial" w:eastAsia="Arial" w:hAnsi="Arial" w:cs="Arial"/>
          <w:sz w:val="21"/>
          <w:szCs w:val="21"/>
          <w:lang w:val="pt-BR"/>
        </w:rPr>
        <w:t xml:space="preserve"> 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No caso, há elementos suficientes </w:t>
      </w:r>
      <w:r w:rsidR="00871A84">
        <w:rPr>
          <w:rFonts w:ascii="Arial" w:eastAsia="Arial" w:hAnsi="Arial" w:cs="Arial"/>
          <w:sz w:val="21"/>
          <w:szCs w:val="21"/>
          <w:lang w:val="pt-BR"/>
        </w:rPr>
        <w:t>que evidenciam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 a </w:t>
      </w:r>
      <w:r w:rsidR="00B53314">
        <w:rPr>
          <w:rFonts w:ascii="Arial" w:eastAsia="Arial" w:hAnsi="Arial" w:cs="Arial"/>
          <w:sz w:val="21"/>
          <w:szCs w:val="21"/>
          <w:lang w:val="pt-BR"/>
        </w:rPr>
        <w:t xml:space="preserve">necessidade de decisão </w:t>
      </w:r>
      <w:r w:rsidR="00121009">
        <w:rPr>
          <w:rFonts w:ascii="Arial" w:eastAsia="Arial" w:hAnsi="Arial" w:cs="Arial"/>
          <w:sz w:val="21"/>
          <w:szCs w:val="21"/>
          <w:lang w:val="pt-BR"/>
        </w:rPr>
        <w:t xml:space="preserve">que iniba a empresa de </w:t>
      </w:r>
      <w:r w:rsidR="00871A84">
        <w:rPr>
          <w:rFonts w:ascii="Arial" w:eastAsia="Arial" w:hAnsi="Arial" w:cs="Arial"/>
          <w:sz w:val="21"/>
          <w:szCs w:val="21"/>
          <w:lang w:val="pt-BR"/>
        </w:rPr>
        <w:t>dispensar</w:t>
      </w:r>
      <w:r w:rsidR="00ED303D">
        <w:rPr>
          <w:rFonts w:ascii="Arial" w:eastAsia="Arial" w:hAnsi="Arial" w:cs="Arial"/>
          <w:sz w:val="21"/>
          <w:szCs w:val="21"/>
          <w:lang w:val="pt-BR"/>
        </w:rPr>
        <w:t xml:space="preserve"> </w:t>
      </w:r>
      <w:r w:rsidR="00121009">
        <w:rPr>
          <w:rFonts w:ascii="Arial" w:eastAsia="Arial" w:hAnsi="Arial" w:cs="Arial"/>
          <w:sz w:val="21"/>
          <w:szCs w:val="21"/>
          <w:lang w:val="pt-BR"/>
        </w:rPr>
        <w:t>os empregados</w:t>
      </w:r>
      <w:r w:rsidR="00ED303D">
        <w:rPr>
          <w:rFonts w:ascii="Arial" w:eastAsia="Arial" w:hAnsi="Arial" w:cs="Arial"/>
          <w:sz w:val="21"/>
          <w:szCs w:val="21"/>
          <w:lang w:val="pt-BR"/>
        </w:rPr>
        <w:t xml:space="preserve"> que figuram na lista das profissões </w:t>
      </w:r>
      <w:r w:rsidR="00ED303D">
        <w:rPr>
          <w:rFonts w:ascii="Arial" w:eastAsia="Arial" w:hAnsi="Arial" w:cs="Arial"/>
          <w:sz w:val="21"/>
          <w:szCs w:val="21"/>
          <w:lang w:val="pt-BR"/>
        </w:rPr>
        <w:lastRenderedPageBreak/>
        <w:t>entendidas por não regulamentas e</w:t>
      </w:r>
      <w:r w:rsidR="00121009">
        <w:rPr>
          <w:rFonts w:ascii="Arial" w:eastAsia="Arial" w:hAnsi="Arial" w:cs="Arial"/>
          <w:sz w:val="21"/>
          <w:szCs w:val="21"/>
          <w:lang w:val="pt-BR"/>
        </w:rPr>
        <w:t xml:space="preserve"> que</w:t>
      </w:r>
      <w:r w:rsidR="00ED303D">
        <w:rPr>
          <w:rFonts w:ascii="Arial" w:eastAsia="Arial" w:hAnsi="Arial" w:cs="Arial"/>
          <w:sz w:val="21"/>
          <w:szCs w:val="21"/>
          <w:lang w:val="pt-BR"/>
        </w:rPr>
        <w:t xml:space="preserve"> não optarem por um dos cargos em</w:t>
      </w:r>
      <w:r w:rsidR="00871A84">
        <w:rPr>
          <w:rFonts w:ascii="Arial" w:eastAsia="Arial" w:hAnsi="Arial" w:cs="Arial"/>
          <w:sz w:val="21"/>
          <w:szCs w:val="21"/>
          <w:lang w:val="pt-BR"/>
        </w:rPr>
        <w:t xml:space="preserve"> cumulação</w:t>
      </w:r>
      <w:r w:rsidR="00121009">
        <w:rPr>
          <w:rFonts w:ascii="Arial" w:eastAsia="Arial" w:hAnsi="Arial" w:cs="Arial"/>
          <w:sz w:val="21"/>
          <w:szCs w:val="21"/>
          <w:lang w:val="pt-BR"/>
        </w:rPr>
        <w:t xml:space="preserve">, </w:t>
      </w:r>
      <w:r w:rsidR="00684FCA">
        <w:rPr>
          <w:rFonts w:ascii="Arial" w:eastAsia="Arial" w:hAnsi="Arial" w:cs="Arial"/>
          <w:sz w:val="21"/>
          <w:szCs w:val="21"/>
          <w:lang w:val="pt-BR"/>
        </w:rPr>
        <w:t xml:space="preserve">tendo em vista </w:t>
      </w:r>
      <w:r w:rsidR="00121009">
        <w:rPr>
          <w:rFonts w:ascii="Arial" w:eastAsia="Arial" w:hAnsi="Arial" w:cs="Arial"/>
          <w:sz w:val="21"/>
          <w:szCs w:val="21"/>
          <w:lang w:val="pt-BR"/>
        </w:rPr>
        <w:t>a interpretação restritiva</w:t>
      </w:r>
      <w:r w:rsidR="00684FCA">
        <w:rPr>
          <w:rFonts w:ascii="Arial" w:eastAsia="Arial" w:hAnsi="Arial" w:cs="Arial"/>
          <w:sz w:val="21"/>
          <w:szCs w:val="21"/>
          <w:lang w:val="pt-BR"/>
        </w:rPr>
        <w:t>, amplamente</w:t>
      </w:r>
      <w:r w:rsidR="00121009">
        <w:rPr>
          <w:rFonts w:ascii="Arial" w:eastAsia="Arial" w:hAnsi="Arial" w:cs="Arial"/>
          <w:sz w:val="21"/>
          <w:szCs w:val="21"/>
          <w:lang w:val="pt-BR"/>
        </w:rPr>
        <w:t xml:space="preserve"> divulgada pela EBSERH</w:t>
      </w:r>
      <w:r w:rsidR="00684FCA">
        <w:rPr>
          <w:rFonts w:ascii="Arial" w:eastAsia="Arial" w:hAnsi="Arial" w:cs="Arial"/>
          <w:sz w:val="21"/>
          <w:szCs w:val="21"/>
          <w:lang w:val="pt-BR"/>
        </w:rPr>
        <w:t xml:space="preserve"> por meio de ofício.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 </w:t>
      </w:r>
    </w:p>
    <w:p w:rsidR="00121009" w:rsidRPr="004E4D26" w:rsidRDefault="00121009" w:rsidP="00121009">
      <w:pPr>
        <w:spacing w:before="240" w:after="567" w:line="360" w:lineRule="atLeast"/>
        <w:ind w:firstLine="2268"/>
        <w:jc w:val="both"/>
        <w:rPr>
          <w:rFonts w:ascii="Arial" w:eastAsia="Arial" w:hAnsi="Arial" w:cs="Arial"/>
          <w:sz w:val="21"/>
          <w:szCs w:val="21"/>
          <w:lang w:val="pt-BR"/>
        </w:rPr>
      </w:pPr>
      <w:r>
        <w:rPr>
          <w:rFonts w:ascii="Arial" w:eastAsia="Arial" w:hAnsi="Arial" w:cs="Arial"/>
          <w:sz w:val="21"/>
          <w:szCs w:val="21"/>
          <w:lang w:val="pt-BR"/>
        </w:rPr>
        <w:t xml:space="preserve">O </w:t>
      </w:r>
      <w:r w:rsidRPr="004E4D26">
        <w:rPr>
          <w:rFonts w:ascii="Arial" w:eastAsia="Arial" w:hAnsi="Arial" w:cs="Arial"/>
          <w:sz w:val="21"/>
          <w:szCs w:val="21"/>
          <w:lang w:val="pt-BR"/>
        </w:rPr>
        <w:t xml:space="preserve">Art. 497 do CPC estabelece que “na ação que tenha por objeto a prestação de fazer ou de não fazer, o juiz, se procedente o pedido, concederá a tutela específica ou determinará providências que assegurem a obtenção de tutela pelo resultado prático equivalente. </w:t>
      </w:r>
    </w:p>
    <w:p w:rsidR="00121009" w:rsidRDefault="00121009" w:rsidP="00121009">
      <w:pPr>
        <w:spacing w:before="240" w:after="567" w:line="360" w:lineRule="atLeast"/>
        <w:ind w:firstLine="2268"/>
        <w:jc w:val="both"/>
        <w:rPr>
          <w:rFonts w:ascii="Arial" w:eastAsia="Arial" w:hAnsi="Arial" w:cs="Arial"/>
          <w:sz w:val="21"/>
          <w:szCs w:val="21"/>
          <w:lang w:val="pt-BR"/>
        </w:rPr>
      </w:pPr>
      <w:bookmarkStart w:id="1" w:name="art497p"/>
      <w:bookmarkEnd w:id="1"/>
      <w:r>
        <w:rPr>
          <w:rFonts w:ascii="Arial" w:eastAsia="Arial" w:hAnsi="Arial" w:cs="Arial"/>
          <w:sz w:val="21"/>
          <w:szCs w:val="21"/>
          <w:lang w:val="pt-BR"/>
        </w:rPr>
        <w:t xml:space="preserve">Já no </w:t>
      </w:r>
      <w:r w:rsidR="005F3797">
        <w:rPr>
          <w:rFonts w:ascii="Arial" w:eastAsia="Arial" w:hAnsi="Arial" w:cs="Arial"/>
          <w:sz w:val="21"/>
          <w:szCs w:val="21"/>
          <w:lang w:val="pt-BR"/>
        </w:rPr>
        <w:t>parágrafo</w:t>
      </w:r>
      <w:r>
        <w:rPr>
          <w:rFonts w:ascii="Arial" w:eastAsia="Arial" w:hAnsi="Arial" w:cs="Arial"/>
          <w:sz w:val="21"/>
          <w:szCs w:val="21"/>
          <w:lang w:val="pt-BR"/>
        </w:rPr>
        <w:t xml:space="preserve"> único do mesmo artigo, a lei estabelece que: </w:t>
      </w:r>
      <w:r w:rsidRPr="004E4D26">
        <w:rPr>
          <w:rFonts w:ascii="Arial" w:eastAsia="Arial" w:hAnsi="Arial" w:cs="Arial"/>
          <w:sz w:val="21"/>
          <w:szCs w:val="21"/>
          <w:lang w:val="pt-BR"/>
        </w:rPr>
        <w:t>“</w:t>
      </w:r>
      <w:r>
        <w:rPr>
          <w:rFonts w:ascii="Arial" w:eastAsia="Arial" w:hAnsi="Arial" w:cs="Arial"/>
          <w:sz w:val="21"/>
          <w:szCs w:val="21"/>
          <w:lang w:val="pt-BR"/>
        </w:rPr>
        <w:t>p</w:t>
      </w:r>
      <w:r w:rsidRPr="004E4D26">
        <w:rPr>
          <w:rFonts w:ascii="Arial" w:eastAsia="Arial" w:hAnsi="Arial" w:cs="Arial"/>
          <w:sz w:val="21"/>
          <w:szCs w:val="21"/>
          <w:lang w:val="pt-BR"/>
        </w:rPr>
        <w:t xml:space="preserve">ara a concessão da tutela específica destinada a inibir a prática, a reiteração ou a continuação de um ilícito, ou a sua remoção, é irrelevante a demonstração da ocorrência de dano ou da existência de culpa ou dolo. </w:t>
      </w:r>
    </w:p>
    <w:p w:rsidR="00D72DA4" w:rsidRDefault="00121009" w:rsidP="00121009">
      <w:pPr>
        <w:spacing w:before="240" w:after="567" w:line="360" w:lineRule="atLeast"/>
        <w:ind w:firstLine="2268"/>
        <w:jc w:val="both"/>
        <w:rPr>
          <w:rFonts w:ascii="Arial" w:eastAsia="Arial" w:hAnsi="Arial" w:cs="Arial"/>
          <w:sz w:val="21"/>
          <w:szCs w:val="21"/>
          <w:lang w:val="pt-BR"/>
        </w:rPr>
      </w:pPr>
      <w:r>
        <w:rPr>
          <w:rFonts w:ascii="Arial" w:eastAsia="Arial" w:hAnsi="Arial" w:cs="Arial"/>
          <w:sz w:val="21"/>
          <w:szCs w:val="21"/>
          <w:lang w:val="pt-BR"/>
        </w:rPr>
        <w:t xml:space="preserve">Nesses termos, verifica-se que há </w:t>
      </w:r>
      <w:r w:rsidR="00B53314">
        <w:rPr>
          <w:rFonts w:ascii="Arial" w:eastAsia="Arial" w:hAnsi="Arial" w:cs="Arial"/>
          <w:sz w:val="21"/>
          <w:szCs w:val="21"/>
          <w:lang w:val="pt-BR"/>
        </w:rPr>
        <w:t>urgência</w:t>
      </w:r>
      <w:r>
        <w:rPr>
          <w:rFonts w:ascii="Arial" w:eastAsia="Arial" w:hAnsi="Arial" w:cs="Arial"/>
          <w:sz w:val="21"/>
          <w:szCs w:val="21"/>
          <w:lang w:val="pt-BR"/>
        </w:rPr>
        <w:t xml:space="preserve"> inibitória</w:t>
      </w:r>
      <w:r w:rsidR="005F3797">
        <w:rPr>
          <w:rFonts w:ascii="Arial" w:eastAsia="Arial" w:hAnsi="Arial" w:cs="Arial"/>
          <w:sz w:val="21"/>
          <w:szCs w:val="21"/>
          <w:lang w:val="pt-BR"/>
        </w:rPr>
        <w:t>,</w:t>
      </w:r>
      <w:r>
        <w:rPr>
          <w:rFonts w:ascii="Arial" w:eastAsia="Arial" w:hAnsi="Arial" w:cs="Arial"/>
          <w:sz w:val="21"/>
          <w:szCs w:val="21"/>
          <w:lang w:val="pt-BR"/>
        </w:rPr>
        <w:t xml:space="preserve"> haja vista que</w:t>
      </w:r>
      <w:r w:rsidR="00B53314">
        <w:rPr>
          <w:rFonts w:ascii="Arial" w:eastAsia="Arial" w:hAnsi="Arial" w:cs="Arial"/>
          <w:sz w:val="21"/>
          <w:szCs w:val="21"/>
          <w:lang w:val="pt-BR"/>
        </w:rPr>
        <w:t xml:space="preserve"> </w:t>
      </w:r>
      <w:r>
        <w:rPr>
          <w:rFonts w:ascii="Arial" w:eastAsia="Arial" w:hAnsi="Arial" w:cs="Arial"/>
          <w:sz w:val="21"/>
          <w:szCs w:val="21"/>
          <w:lang w:val="pt-BR"/>
        </w:rPr>
        <w:t xml:space="preserve">a </w:t>
      </w:r>
      <w:r w:rsidR="00B53314" w:rsidRPr="008C65D9">
        <w:rPr>
          <w:rFonts w:ascii="Arial" w:eastAsia="Arial" w:hAnsi="Arial" w:cs="Arial"/>
          <w:sz w:val="21"/>
          <w:szCs w:val="21"/>
          <w:lang w:val="pt-BR"/>
        </w:rPr>
        <w:t>interpretação restritiva da norma constitucional</w:t>
      </w:r>
      <w:r>
        <w:rPr>
          <w:rFonts w:ascii="Arial" w:eastAsia="Arial" w:hAnsi="Arial" w:cs="Arial"/>
          <w:sz w:val="21"/>
          <w:szCs w:val="21"/>
          <w:lang w:val="pt-BR"/>
        </w:rPr>
        <w:t>, prejudicial aos trabalhadores,</w:t>
      </w:r>
      <w:r w:rsidR="00B53314" w:rsidRPr="008C65D9">
        <w:rPr>
          <w:rFonts w:ascii="Arial" w:eastAsia="Arial" w:hAnsi="Arial" w:cs="Arial"/>
          <w:sz w:val="21"/>
          <w:szCs w:val="21"/>
          <w:lang w:val="pt-BR"/>
        </w:rPr>
        <w:t xml:space="preserve"> </w:t>
      </w:r>
      <w:r>
        <w:rPr>
          <w:rFonts w:ascii="Arial" w:eastAsia="Arial" w:hAnsi="Arial" w:cs="Arial"/>
          <w:sz w:val="21"/>
          <w:szCs w:val="21"/>
          <w:lang w:val="pt-BR"/>
        </w:rPr>
        <w:t>foi</w:t>
      </w:r>
      <w:r w:rsidR="00B53314" w:rsidRPr="008C65D9">
        <w:rPr>
          <w:rFonts w:ascii="Arial" w:eastAsia="Arial" w:hAnsi="Arial" w:cs="Arial"/>
          <w:sz w:val="21"/>
          <w:szCs w:val="21"/>
          <w:lang w:val="pt-BR"/>
        </w:rPr>
        <w:t xml:space="preserve"> divulgada oficialmente pela empresa</w:t>
      </w:r>
      <w:r w:rsidR="00B53314">
        <w:rPr>
          <w:rFonts w:ascii="Arial" w:eastAsia="Arial" w:hAnsi="Arial" w:cs="Arial"/>
          <w:sz w:val="21"/>
          <w:szCs w:val="21"/>
          <w:lang w:val="pt-BR"/>
        </w:rPr>
        <w:t xml:space="preserve"> por meio do </w:t>
      </w:r>
      <w:r w:rsidR="00B53314" w:rsidRPr="008C65D9">
        <w:rPr>
          <w:rFonts w:ascii="Arial" w:eastAsia="Arial" w:hAnsi="Arial" w:cs="Arial"/>
          <w:sz w:val="21"/>
          <w:szCs w:val="21"/>
          <w:lang w:val="pt-BR"/>
        </w:rPr>
        <w:t>Ofício Circular - SEI nº 5/2023/DGP-EBSERH</w:t>
      </w:r>
      <w:r w:rsidR="00B53314">
        <w:rPr>
          <w:rFonts w:ascii="Arial" w:eastAsia="Arial" w:hAnsi="Arial" w:cs="Arial"/>
          <w:sz w:val="21"/>
          <w:szCs w:val="21"/>
          <w:lang w:val="pt-BR"/>
        </w:rPr>
        <w:t>,</w:t>
      </w:r>
      <w:r w:rsidR="00871A84">
        <w:rPr>
          <w:rFonts w:ascii="Arial" w:eastAsia="Arial" w:hAnsi="Arial" w:cs="Arial"/>
          <w:sz w:val="21"/>
          <w:szCs w:val="21"/>
          <w:lang w:val="pt-BR"/>
        </w:rPr>
        <w:t xml:space="preserve"> logo </w:t>
      </w:r>
      <w:r>
        <w:rPr>
          <w:rFonts w:ascii="Arial" w:eastAsia="Arial" w:hAnsi="Arial" w:cs="Arial"/>
          <w:sz w:val="21"/>
          <w:szCs w:val="21"/>
          <w:lang w:val="pt-BR"/>
        </w:rPr>
        <w:t>há</w:t>
      </w:r>
      <w:r w:rsidR="00B53314">
        <w:rPr>
          <w:rFonts w:ascii="Arial" w:eastAsia="Arial" w:hAnsi="Arial" w:cs="Arial"/>
          <w:sz w:val="21"/>
          <w:szCs w:val="21"/>
          <w:lang w:val="pt-BR"/>
        </w:rPr>
        <w:t xml:space="preserve"> viabilidade concreta d</w:t>
      </w:r>
      <w:r w:rsidR="00FF1A74">
        <w:rPr>
          <w:rFonts w:ascii="Arial" w:eastAsia="Arial" w:hAnsi="Arial" w:cs="Arial"/>
          <w:sz w:val="21"/>
          <w:szCs w:val="21"/>
          <w:lang w:val="pt-BR"/>
        </w:rPr>
        <w:t>e seus desdobramento</w:t>
      </w:r>
      <w:r w:rsidR="00B53314">
        <w:rPr>
          <w:rFonts w:ascii="Arial" w:eastAsia="Arial" w:hAnsi="Arial" w:cs="Arial"/>
          <w:sz w:val="21"/>
          <w:szCs w:val="21"/>
          <w:lang w:val="pt-BR"/>
        </w:rPr>
        <w:t>s</w:t>
      </w:r>
      <w:r w:rsidR="00FF1A74">
        <w:rPr>
          <w:rFonts w:ascii="Arial" w:eastAsia="Arial" w:hAnsi="Arial" w:cs="Arial"/>
          <w:sz w:val="21"/>
          <w:szCs w:val="21"/>
          <w:lang w:val="pt-BR"/>
        </w:rPr>
        <w:t>, conforme documentação anexa.</w:t>
      </w:r>
    </w:p>
    <w:p w:rsidR="000F1F41" w:rsidRDefault="00B85B5D" w:rsidP="000F1F41">
      <w:pPr>
        <w:spacing w:before="240" w:after="567" w:line="360" w:lineRule="atLeast"/>
        <w:ind w:firstLine="2268"/>
        <w:jc w:val="both"/>
        <w:rPr>
          <w:rFonts w:ascii="Arial" w:eastAsia="Arial" w:hAnsi="Arial" w:cs="Arial"/>
          <w:sz w:val="21"/>
          <w:szCs w:val="21"/>
          <w:lang w:val="pt-BR"/>
        </w:rPr>
      </w:pPr>
      <w:r>
        <w:rPr>
          <w:rFonts w:ascii="Arial" w:eastAsia="Arial" w:hAnsi="Arial" w:cs="Arial"/>
          <w:sz w:val="21"/>
          <w:szCs w:val="21"/>
          <w:lang w:val="pt-BR"/>
        </w:rPr>
        <w:t xml:space="preserve">Ademais, consta no ofício </w:t>
      </w:r>
      <w:r w:rsidRPr="00B85B5D">
        <w:rPr>
          <w:rFonts w:ascii="Arial" w:eastAsia="Arial" w:hAnsi="Arial" w:cs="Arial"/>
          <w:sz w:val="21"/>
          <w:szCs w:val="21"/>
          <w:lang w:val="pt-BR"/>
        </w:rPr>
        <w:t>Of</w:t>
      </w:r>
      <w:r>
        <w:rPr>
          <w:rFonts w:ascii="Arial" w:eastAsia="Arial" w:hAnsi="Arial" w:cs="Arial"/>
          <w:sz w:val="21"/>
          <w:szCs w:val="21"/>
          <w:lang w:val="pt-BR"/>
        </w:rPr>
        <w:t>ício</w:t>
      </w:r>
      <w:r w:rsidRPr="00B85B5D">
        <w:rPr>
          <w:rFonts w:ascii="Arial" w:eastAsia="Arial" w:hAnsi="Arial" w:cs="Arial"/>
          <w:sz w:val="21"/>
          <w:szCs w:val="21"/>
          <w:lang w:val="pt-BR"/>
        </w:rPr>
        <w:t>-Circular - SEI nº 10/2024/DGP-EBSERH</w:t>
      </w:r>
      <w:r>
        <w:rPr>
          <w:rFonts w:ascii="Arial" w:eastAsia="Arial" w:hAnsi="Arial" w:cs="Arial"/>
          <w:sz w:val="21"/>
          <w:szCs w:val="21"/>
          <w:lang w:val="pt-BR"/>
        </w:rPr>
        <w:t xml:space="preserve"> (DOC. ANEXO) a apuração nacional, por hospital, </w:t>
      </w:r>
      <w:r w:rsidRPr="00B85B5D">
        <w:rPr>
          <w:rFonts w:ascii="Arial" w:eastAsia="Arial" w:hAnsi="Arial" w:cs="Arial"/>
          <w:sz w:val="21"/>
          <w:szCs w:val="21"/>
          <w:lang w:val="pt-BR"/>
        </w:rPr>
        <w:t>“das situações de acúmulo de cargos públicos por empregados ocupantes de cargos de profissões não regulamentadas”, de acordo com a interpretação restritiva da empresa, totalizando 6</w:t>
      </w:r>
      <w:r>
        <w:rPr>
          <w:rFonts w:ascii="Arial" w:eastAsia="Arial" w:hAnsi="Arial" w:cs="Arial"/>
          <w:sz w:val="21"/>
          <w:szCs w:val="21"/>
          <w:lang w:val="pt-BR"/>
        </w:rPr>
        <w:t>.</w:t>
      </w:r>
      <w:r w:rsidRPr="00B85B5D">
        <w:rPr>
          <w:rFonts w:ascii="Arial" w:eastAsia="Arial" w:hAnsi="Arial" w:cs="Arial"/>
          <w:sz w:val="21"/>
          <w:szCs w:val="21"/>
          <w:lang w:val="pt-BR"/>
        </w:rPr>
        <w:t>615 empregados.</w:t>
      </w:r>
      <w:r>
        <w:rPr>
          <w:rFonts w:ascii="Arial" w:eastAsia="Arial" w:hAnsi="Arial" w:cs="Arial"/>
          <w:sz w:val="21"/>
          <w:szCs w:val="21"/>
          <w:lang w:val="pt-BR"/>
        </w:rPr>
        <w:t xml:space="preserve"> Portanto, esse é o quantitativo de empregados que correm risco de perderem o emprego, haja vista que já estão sendo notificados e caso não cumpram os requisitos resultantes da intepretação restritiva da empresa serão obrigados a escolher um dos vínculos</w:t>
      </w:r>
      <w:r w:rsidR="000F1F41">
        <w:rPr>
          <w:rFonts w:ascii="Arial" w:eastAsia="Arial" w:hAnsi="Arial" w:cs="Arial"/>
          <w:sz w:val="21"/>
          <w:szCs w:val="21"/>
          <w:lang w:val="pt-BR"/>
        </w:rPr>
        <w:t xml:space="preserve"> em prejuízo do próprio sustento</w:t>
      </w:r>
      <w:r w:rsidR="000F1F41">
        <w:rPr>
          <w:rStyle w:val="Refdenotaderodap"/>
          <w:rFonts w:ascii="Arial" w:eastAsia="Arial" w:hAnsi="Arial" w:cs="Arial"/>
          <w:sz w:val="21"/>
          <w:szCs w:val="21"/>
          <w:lang w:val="pt-BR"/>
        </w:rPr>
        <w:footnoteReference w:id="3"/>
      </w:r>
      <w:r w:rsidR="000F1F41">
        <w:rPr>
          <w:rFonts w:ascii="Arial" w:eastAsia="Arial" w:hAnsi="Arial" w:cs="Arial"/>
          <w:sz w:val="21"/>
          <w:szCs w:val="21"/>
          <w:lang w:val="pt-BR"/>
        </w:rPr>
        <w:t xml:space="preserve">. </w:t>
      </w:r>
    </w:p>
    <w:p w:rsidR="000F1F41" w:rsidRPr="00B85B5D" w:rsidRDefault="000F1F41" w:rsidP="000F1F41">
      <w:pPr>
        <w:spacing w:before="240" w:after="567" w:line="360" w:lineRule="atLeast"/>
        <w:ind w:firstLine="2268"/>
        <w:jc w:val="both"/>
        <w:rPr>
          <w:rFonts w:ascii="Arial" w:eastAsia="Arial" w:hAnsi="Arial" w:cs="Arial"/>
          <w:sz w:val="21"/>
          <w:szCs w:val="21"/>
          <w:lang w:val="pt-BR"/>
        </w:rPr>
      </w:pPr>
      <w:r>
        <w:rPr>
          <w:rFonts w:ascii="Arial" w:eastAsia="Arial" w:hAnsi="Arial" w:cs="Arial"/>
          <w:sz w:val="21"/>
          <w:szCs w:val="21"/>
          <w:lang w:val="pt-BR"/>
        </w:rPr>
        <w:t>Observe-se que os empregados do ramo da saúde</w:t>
      </w:r>
      <w:r w:rsidR="003A080E">
        <w:rPr>
          <w:rFonts w:ascii="Arial" w:eastAsia="Arial" w:hAnsi="Arial" w:cs="Arial"/>
          <w:sz w:val="21"/>
          <w:szCs w:val="21"/>
          <w:lang w:val="pt-BR"/>
        </w:rPr>
        <w:t xml:space="preserve">, muitas vezes </w:t>
      </w:r>
      <w:r>
        <w:rPr>
          <w:rFonts w:ascii="Arial" w:eastAsia="Arial" w:hAnsi="Arial" w:cs="Arial"/>
          <w:sz w:val="21"/>
          <w:szCs w:val="21"/>
          <w:lang w:val="pt-BR"/>
        </w:rPr>
        <w:t xml:space="preserve">são obrigados pela realidade dos baixos salários a terem </w:t>
      </w:r>
      <w:r w:rsidR="003A080E">
        <w:rPr>
          <w:rFonts w:ascii="Arial" w:eastAsia="Arial" w:hAnsi="Arial" w:cs="Arial"/>
          <w:sz w:val="21"/>
          <w:szCs w:val="21"/>
          <w:lang w:val="pt-BR"/>
        </w:rPr>
        <w:t>duplo vínculo</w:t>
      </w:r>
      <w:r>
        <w:rPr>
          <w:rFonts w:ascii="Arial" w:eastAsia="Arial" w:hAnsi="Arial" w:cs="Arial"/>
          <w:sz w:val="21"/>
          <w:szCs w:val="21"/>
          <w:lang w:val="pt-BR"/>
        </w:rPr>
        <w:t xml:space="preserve"> como forma de sustento próprio.  </w:t>
      </w:r>
    </w:p>
    <w:p w:rsidR="002E5D27" w:rsidRPr="00FF1A74" w:rsidRDefault="002A574F" w:rsidP="00871A84">
      <w:pPr>
        <w:spacing w:before="240" w:after="567" w:line="360" w:lineRule="atLeast"/>
        <w:ind w:firstLine="2268"/>
        <w:jc w:val="both"/>
        <w:rPr>
          <w:rFonts w:ascii="Arial" w:eastAsia="Arial" w:hAnsi="Arial" w:cs="Arial"/>
          <w:sz w:val="21"/>
          <w:szCs w:val="21"/>
          <w:lang w:val="pt-BR"/>
        </w:rPr>
      </w:pPr>
      <w:r>
        <w:rPr>
          <w:rFonts w:ascii="Arial" w:eastAsia="Arial" w:hAnsi="Arial" w:cs="Arial"/>
          <w:sz w:val="21"/>
          <w:szCs w:val="21"/>
          <w:lang w:val="pt-BR"/>
        </w:rPr>
        <w:lastRenderedPageBreak/>
        <w:t>Por essas razões, r</w:t>
      </w:r>
      <w:r w:rsidR="00871A84" w:rsidRPr="008C65D9">
        <w:rPr>
          <w:rFonts w:ascii="Arial" w:eastAsia="Arial" w:hAnsi="Arial" w:cs="Arial"/>
          <w:sz w:val="21"/>
          <w:szCs w:val="21"/>
          <w:lang w:val="pt-BR"/>
        </w:rPr>
        <w:t xml:space="preserve">equer em sede de TUTELA </w:t>
      </w:r>
      <w:r w:rsidR="00D72DA4">
        <w:rPr>
          <w:rFonts w:ascii="Arial" w:eastAsia="Arial" w:hAnsi="Arial" w:cs="Arial"/>
          <w:sz w:val="21"/>
          <w:szCs w:val="21"/>
          <w:lang w:val="pt-BR"/>
        </w:rPr>
        <w:t>INBITÓRIA</w:t>
      </w:r>
      <w:r w:rsidR="00871A84">
        <w:rPr>
          <w:rFonts w:ascii="Arial" w:eastAsia="Arial" w:hAnsi="Arial" w:cs="Arial"/>
          <w:sz w:val="21"/>
          <w:szCs w:val="21"/>
          <w:lang w:val="pt-BR"/>
        </w:rPr>
        <w:t>, pois</w:t>
      </w:r>
      <w:r w:rsidR="00871A84" w:rsidRPr="008C65D9">
        <w:rPr>
          <w:rFonts w:ascii="Arial" w:eastAsia="Arial" w:hAnsi="Arial" w:cs="Arial"/>
          <w:sz w:val="21"/>
          <w:szCs w:val="21"/>
          <w:lang w:val="pt-BR"/>
        </w:rPr>
        <w:t xml:space="preserve"> presentes os requisitos legais do artigo </w:t>
      </w:r>
      <w:r w:rsidR="00121009">
        <w:rPr>
          <w:rFonts w:ascii="Arial" w:eastAsia="Arial" w:hAnsi="Arial" w:cs="Arial"/>
          <w:sz w:val="21"/>
          <w:szCs w:val="21"/>
          <w:lang w:val="pt-BR"/>
        </w:rPr>
        <w:t>497</w:t>
      </w:r>
      <w:r w:rsidR="006C2AA1">
        <w:rPr>
          <w:rFonts w:ascii="Arial" w:eastAsia="Arial" w:hAnsi="Arial" w:cs="Arial"/>
          <w:sz w:val="21"/>
          <w:szCs w:val="21"/>
          <w:lang w:val="pt-BR"/>
        </w:rPr>
        <w:t>,</w:t>
      </w:r>
      <w:r w:rsidR="00871A84" w:rsidRPr="008C65D9">
        <w:rPr>
          <w:rFonts w:ascii="Arial" w:eastAsia="Arial" w:hAnsi="Arial" w:cs="Arial"/>
          <w:sz w:val="21"/>
          <w:szCs w:val="21"/>
          <w:lang w:val="pt-BR"/>
        </w:rPr>
        <w:t xml:space="preserve"> </w:t>
      </w:r>
      <w:r w:rsidR="00121009" w:rsidRPr="00FF1A74">
        <w:rPr>
          <w:rFonts w:ascii="Arial" w:eastAsia="Arial" w:hAnsi="Arial" w:cs="Arial"/>
          <w:sz w:val="21"/>
          <w:szCs w:val="21"/>
          <w:lang w:val="pt-BR"/>
        </w:rPr>
        <w:t>caput e</w:t>
      </w:r>
      <w:r w:rsidR="00121009">
        <w:rPr>
          <w:rFonts w:ascii="Arial" w:eastAsia="Arial" w:hAnsi="Arial" w:cs="Arial"/>
          <w:sz w:val="21"/>
          <w:szCs w:val="21"/>
          <w:lang w:val="pt-BR"/>
        </w:rPr>
        <w:t xml:space="preserve"> § único </w:t>
      </w:r>
      <w:r w:rsidR="00871A84" w:rsidRPr="008C65D9">
        <w:rPr>
          <w:rFonts w:ascii="Arial" w:eastAsia="Arial" w:hAnsi="Arial" w:cs="Arial"/>
          <w:sz w:val="21"/>
          <w:szCs w:val="21"/>
          <w:lang w:val="pt-BR"/>
        </w:rPr>
        <w:t>do CPC</w:t>
      </w:r>
      <w:r w:rsidR="00871A84">
        <w:rPr>
          <w:rFonts w:ascii="Arial" w:eastAsia="Arial" w:hAnsi="Arial" w:cs="Arial"/>
          <w:sz w:val="21"/>
          <w:szCs w:val="21"/>
          <w:lang w:val="pt-BR"/>
        </w:rPr>
        <w:t xml:space="preserve">, determinação para que </w:t>
      </w:r>
      <w:r w:rsidR="00121009">
        <w:rPr>
          <w:rFonts w:ascii="Arial" w:eastAsia="Arial" w:hAnsi="Arial" w:cs="Arial"/>
          <w:sz w:val="21"/>
          <w:szCs w:val="21"/>
          <w:lang w:val="pt-BR"/>
        </w:rPr>
        <w:t>a</w:t>
      </w:r>
      <w:r w:rsidR="00871A84" w:rsidRPr="008C65D9">
        <w:rPr>
          <w:rFonts w:ascii="Arial" w:eastAsia="Arial" w:hAnsi="Arial" w:cs="Arial"/>
          <w:sz w:val="21"/>
          <w:szCs w:val="21"/>
          <w:lang w:val="pt-BR"/>
        </w:rPr>
        <w:t xml:space="preserve"> reclamada </w:t>
      </w:r>
      <w:r w:rsidR="00962B22">
        <w:rPr>
          <w:rFonts w:ascii="Arial" w:eastAsia="Arial" w:hAnsi="Arial" w:cs="Arial"/>
          <w:sz w:val="21"/>
          <w:szCs w:val="21"/>
          <w:lang w:val="pt-BR"/>
        </w:rPr>
        <w:t>se abstenha de</w:t>
      </w:r>
      <w:r w:rsidR="00121009">
        <w:rPr>
          <w:rFonts w:ascii="Arial" w:eastAsia="Arial" w:hAnsi="Arial" w:cs="Arial"/>
          <w:sz w:val="21"/>
          <w:szCs w:val="21"/>
          <w:lang w:val="pt-BR"/>
        </w:rPr>
        <w:t xml:space="preserve"> impor aos trabalhadores a escolha </w:t>
      </w:r>
      <w:r w:rsidR="00962B22">
        <w:rPr>
          <w:rFonts w:ascii="Arial" w:eastAsia="Arial" w:hAnsi="Arial" w:cs="Arial"/>
          <w:sz w:val="21"/>
          <w:szCs w:val="21"/>
          <w:lang w:val="pt-BR"/>
        </w:rPr>
        <w:t>por</w:t>
      </w:r>
      <w:r w:rsidR="00121009">
        <w:rPr>
          <w:rFonts w:ascii="Arial" w:eastAsia="Arial" w:hAnsi="Arial" w:cs="Arial"/>
          <w:sz w:val="21"/>
          <w:szCs w:val="21"/>
          <w:lang w:val="pt-BR"/>
        </w:rPr>
        <w:t xml:space="preserve"> um dos vínculos</w:t>
      </w:r>
      <w:r w:rsidR="00962B22">
        <w:rPr>
          <w:rFonts w:ascii="Arial" w:eastAsia="Arial" w:hAnsi="Arial" w:cs="Arial"/>
          <w:sz w:val="21"/>
          <w:szCs w:val="21"/>
          <w:lang w:val="pt-BR"/>
        </w:rPr>
        <w:t>,</w:t>
      </w:r>
      <w:r w:rsidR="00121009">
        <w:rPr>
          <w:rFonts w:ascii="Arial" w:eastAsia="Arial" w:hAnsi="Arial" w:cs="Arial"/>
          <w:sz w:val="21"/>
          <w:szCs w:val="21"/>
          <w:lang w:val="pt-BR"/>
        </w:rPr>
        <w:t xml:space="preserve"> sob pena de demissão motivada</w:t>
      </w:r>
      <w:r w:rsidR="00962B22">
        <w:rPr>
          <w:rFonts w:ascii="Arial" w:eastAsia="Arial" w:hAnsi="Arial" w:cs="Arial"/>
          <w:sz w:val="21"/>
          <w:szCs w:val="21"/>
          <w:lang w:val="pt-BR"/>
        </w:rPr>
        <w:t>, bem como,</w:t>
      </w:r>
      <w:r w:rsidR="00871A84">
        <w:rPr>
          <w:rFonts w:ascii="Arial" w:eastAsia="Arial" w:hAnsi="Arial" w:cs="Arial"/>
          <w:sz w:val="21"/>
          <w:szCs w:val="21"/>
          <w:lang w:val="pt-BR"/>
        </w:rPr>
        <w:t xml:space="preserve"> </w:t>
      </w:r>
      <w:r w:rsidR="00962B22">
        <w:rPr>
          <w:rFonts w:ascii="Arial" w:eastAsia="Arial" w:hAnsi="Arial" w:cs="Arial"/>
          <w:sz w:val="21"/>
          <w:szCs w:val="21"/>
          <w:lang w:val="pt-BR"/>
        </w:rPr>
        <w:t>abster-se de considerar a espécie normativa LEI com</w:t>
      </w:r>
      <w:r w:rsidR="005F3797">
        <w:rPr>
          <w:rFonts w:ascii="Arial" w:eastAsia="Arial" w:hAnsi="Arial" w:cs="Arial"/>
          <w:sz w:val="21"/>
          <w:szCs w:val="21"/>
          <w:lang w:val="pt-BR"/>
        </w:rPr>
        <w:t>o</w:t>
      </w:r>
      <w:r w:rsidR="00962B22">
        <w:rPr>
          <w:rFonts w:ascii="Arial" w:eastAsia="Arial" w:hAnsi="Arial" w:cs="Arial"/>
          <w:sz w:val="21"/>
          <w:szCs w:val="21"/>
          <w:lang w:val="pt-BR"/>
        </w:rPr>
        <w:t xml:space="preserve"> único critério de caracterização das profissões regulamentadas. </w:t>
      </w:r>
      <w:r w:rsidR="002768EF">
        <w:rPr>
          <w:rFonts w:ascii="Arial" w:eastAsia="Arial" w:hAnsi="Arial" w:cs="Arial"/>
          <w:sz w:val="21"/>
          <w:szCs w:val="21"/>
          <w:lang w:val="pt-BR"/>
        </w:rPr>
        <w:t>Em caso de descumprimento deverá ser aplicada a</w:t>
      </w:r>
      <w:r w:rsidR="00871A84" w:rsidRPr="008C65D9">
        <w:rPr>
          <w:rFonts w:ascii="Arial" w:eastAsia="Arial" w:hAnsi="Arial" w:cs="Arial"/>
          <w:sz w:val="21"/>
          <w:szCs w:val="21"/>
          <w:lang w:val="pt-BR"/>
        </w:rPr>
        <w:t xml:space="preserve"> pena de multa diária, a ser arbitrada por </w:t>
      </w:r>
      <w:r w:rsidR="00FF1A74">
        <w:rPr>
          <w:rFonts w:ascii="Arial" w:eastAsia="Arial" w:hAnsi="Arial" w:cs="Arial"/>
          <w:sz w:val="21"/>
          <w:szCs w:val="21"/>
          <w:lang w:val="pt-BR"/>
        </w:rPr>
        <w:t>este juízo</w:t>
      </w:r>
      <w:r w:rsidR="00871A84" w:rsidRPr="008C65D9">
        <w:rPr>
          <w:rFonts w:ascii="Arial" w:eastAsia="Arial" w:hAnsi="Arial" w:cs="Arial"/>
          <w:sz w:val="21"/>
          <w:szCs w:val="21"/>
          <w:lang w:val="pt-BR"/>
        </w:rPr>
        <w:t>, em valor não inferior a R$ 50.000,00 (cinquenta mil reais) por dia e por empregado.</w:t>
      </w:r>
    </w:p>
    <w:p w:rsidR="002E5D27" w:rsidRPr="008C65D9" w:rsidRDefault="005E3923">
      <w:pPr>
        <w:spacing w:before="240" w:after="567" w:line="360" w:lineRule="atLeast"/>
        <w:jc w:val="both"/>
        <w:rPr>
          <w:rFonts w:ascii="Arial" w:hAnsi="Arial" w:cs="Arial"/>
          <w:sz w:val="21"/>
          <w:szCs w:val="21"/>
          <w:lang w:val="pt-BR"/>
        </w:rPr>
      </w:pPr>
      <w:r w:rsidRPr="008C65D9">
        <w:rPr>
          <w:rFonts w:ascii="Arial" w:eastAsia="Arial" w:hAnsi="Arial" w:cs="Arial"/>
          <w:b/>
          <w:bCs/>
          <w:sz w:val="21"/>
          <w:szCs w:val="21"/>
          <w:lang w:val="pt-BR"/>
        </w:rPr>
        <w:t>4 JUSTIÇA GRATUITA</w:t>
      </w:r>
    </w:p>
    <w:p w:rsidR="002E5D27" w:rsidRPr="00FF1A74" w:rsidRDefault="005E3923" w:rsidP="002768EF">
      <w:pPr>
        <w:spacing w:before="240" w:after="567" w:line="360" w:lineRule="atLeast"/>
        <w:ind w:firstLine="2268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8C65D9">
        <w:rPr>
          <w:rFonts w:ascii="Arial" w:eastAsia="Arial" w:hAnsi="Arial" w:cs="Arial"/>
          <w:sz w:val="21"/>
          <w:szCs w:val="21"/>
          <w:lang w:val="pt-BR"/>
        </w:rPr>
        <w:t>Os advogados subscritores, nos limites da Orientação Jurisprudencial 304 da SDI-1 do TST, declaram que os substituídos não têm condições de arcar com as despesas do processo sem prejuízo do sustento próprio e familiar, requerendo a concessão dos benefícios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 da justiça gratuita (Lei 1.060/50 c/c Lei 5.584/70). Em igual sentido, </w:t>
      </w:r>
      <w:r w:rsidRPr="00FF1A74">
        <w:rPr>
          <w:rFonts w:ascii="Arial" w:eastAsia="Arial" w:hAnsi="Arial" w:cs="Arial"/>
          <w:sz w:val="21"/>
          <w:szCs w:val="21"/>
          <w:lang w:val="pt-BR"/>
        </w:rPr>
        <w:t>o art. 18 da Lei nº 7.347/1985, também prevê a isenção de custas</w:t>
      </w:r>
      <w:r w:rsidRPr="008C65D9">
        <w:rPr>
          <w:rFonts w:ascii="Arial" w:eastAsia="Arial" w:hAnsi="Arial" w:cs="Arial"/>
          <w:sz w:val="21"/>
          <w:szCs w:val="21"/>
          <w:lang w:val="pt-BR"/>
        </w:rPr>
        <w:t>, conforme transcrição:</w:t>
      </w:r>
    </w:p>
    <w:p w:rsidR="002E5D27" w:rsidRPr="002768EF" w:rsidRDefault="005E3923" w:rsidP="002768EF">
      <w:pPr>
        <w:spacing w:before="240" w:after="567"/>
        <w:ind w:left="2268"/>
        <w:jc w:val="both"/>
        <w:rPr>
          <w:rFonts w:ascii="Arial" w:hAnsi="Arial" w:cs="Arial"/>
          <w:sz w:val="20"/>
          <w:szCs w:val="20"/>
          <w:lang w:val="pt-BR"/>
        </w:rPr>
      </w:pPr>
      <w:r w:rsidRPr="002768EF">
        <w:rPr>
          <w:rFonts w:ascii="Arial" w:eastAsia="Arial" w:hAnsi="Arial" w:cs="Arial"/>
          <w:sz w:val="20"/>
          <w:szCs w:val="20"/>
          <w:lang w:val="pt-BR"/>
        </w:rPr>
        <w:t>Art. 18. Nas ações de que trata esta lei, não haverá adiantamento de custas, emolumentos, honorá</w:t>
      </w:r>
      <w:r w:rsidRPr="002768EF">
        <w:rPr>
          <w:rFonts w:ascii="Arial" w:eastAsia="Arial" w:hAnsi="Arial" w:cs="Arial"/>
          <w:sz w:val="20"/>
          <w:szCs w:val="20"/>
          <w:lang w:val="pt-BR"/>
        </w:rPr>
        <w:t xml:space="preserve">rios periciais e quaisquer outras despesas, nem condenação da associação autora, salvo comprovada má-fé, em honorários de advogado, custas e despesas processuais. </w:t>
      </w:r>
    </w:p>
    <w:p w:rsidR="002E5D27" w:rsidRPr="008C65D9" w:rsidRDefault="005E3923" w:rsidP="002768EF">
      <w:pPr>
        <w:spacing w:before="240" w:after="567" w:line="360" w:lineRule="atLeast"/>
        <w:ind w:firstLine="2268"/>
        <w:jc w:val="both"/>
        <w:rPr>
          <w:rFonts w:ascii="Arial" w:hAnsi="Arial" w:cs="Arial"/>
          <w:sz w:val="21"/>
          <w:szCs w:val="21"/>
          <w:lang w:val="pt-BR"/>
        </w:rPr>
      </w:pPr>
      <w:r w:rsidRPr="008C65D9">
        <w:rPr>
          <w:rFonts w:ascii="Arial" w:eastAsia="Arial" w:hAnsi="Arial" w:cs="Arial"/>
          <w:sz w:val="21"/>
          <w:szCs w:val="21"/>
          <w:lang w:val="pt-BR"/>
        </w:rPr>
        <w:t>A jurisprudência segue o mesmo sentido:</w:t>
      </w:r>
    </w:p>
    <w:p w:rsidR="006C2AA1" w:rsidRPr="007E6356" w:rsidRDefault="007E6356" w:rsidP="007E6356">
      <w:pPr>
        <w:spacing w:before="240" w:after="567"/>
        <w:ind w:left="2268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7E6356">
        <w:rPr>
          <w:rFonts w:ascii="Arial" w:eastAsia="Arial" w:hAnsi="Arial" w:cs="Arial"/>
          <w:sz w:val="44"/>
          <w:szCs w:val="44"/>
          <w:lang w:val="pt-BR"/>
        </w:rPr>
        <w:t>TST</w:t>
      </w:r>
      <w:r>
        <w:rPr>
          <w:rFonts w:ascii="Arial" w:eastAsia="Arial" w:hAnsi="Arial" w:cs="Arial"/>
          <w:sz w:val="20"/>
          <w:szCs w:val="20"/>
          <w:lang w:val="pt-BR"/>
        </w:rPr>
        <w:t xml:space="preserve"> </w:t>
      </w:r>
      <w:r w:rsidR="006C2AA1" w:rsidRPr="007E6356">
        <w:rPr>
          <w:rFonts w:ascii="Arial" w:eastAsia="Arial" w:hAnsi="Arial" w:cs="Arial"/>
          <w:sz w:val="20"/>
          <w:szCs w:val="20"/>
          <w:lang w:val="pt-BR"/>
        </w:rPr>
        <w:t xml:space="preserve">"RECURSO DE REVISTA INTERPOSTO NA VIGÊNCIA DA LEI 13.467/2017. AÇÃO CIVIL PÚBLICA AJUIZADA POR SINDICATO. ISENÇÃO DE CUSTAS E DESPESAS PROCESSUAIS. PRINCÍPIO DA ESPECIALIDADE. APLICABILIDADE DO ART. 18 DA LEI 7.347/1985 FRENTE AO ART. 791-A DA CLT. TRANSCENDÊNCIA POLÍTICA. O debate acerca da norma aplicável a respeito da isenção de custas e despesas processuais no caso de ajuizamento de ação civil pública pelo Sindicato detém transcendência política, nos termos do art. 896-A, § 1º, II, da CLT. O Regional decidiu que o Sindicato-autor não teria direito aos benefícios da gratuidade de justiça, por não ter comprovado sua hipossuficiência econômica. Condenou-o, ainda, ao pagamento de honorários de sucumbência. Segundo o Tribunal a </w:t>
      </w:r>
      <w:proofErr w:type="gramStart"/>
      <w:r w:rsidR="006C2AA1" w:rsidRPr="007E6356">
        <w:rPr>
          <w:rFonts w:ascii="Arial" w:eastAsia="Arial" w:hAnsi="Arial" w:cs="Arial"/>
          <w:sz w:val="20"/>
          <w:szCs w:val="20"/>
          <w:lang w:val="pt-BR"/>
        </w:rPr>
        <w:t>quo ,</w:t>
      </w:r>
      <w:proofErr w:type="gramEnd"/>
      <w:r w:rsidR="006C2AA1" w:rsidRPr="007E6356">
        <w:rPr>
          <w:rFonts w:ascii="Arial" w:eastAsia="Arial" w:hAnsi="Arial" w:cs="Arial"/>
          <w:sz w:val="20"/>
          <w:szCs w:val="20"/>
          <w:lang w:val="pt-BR"/>
        </w:rPr>
        <w:t xml:space="preserve"> aplicável o art. 790, § 4º, da CLT ("O benefício da justiça gratuita será concedido à parte que comprovar insuficiência de recursos para o pagamento das custas do processo"), norma entendida como especial frente à contida na Lei da Ação Civil Pública. Ainda, mencionou-se na fundamentação o item II da Súmula 463 do TST, segundo o qual: "No caso de pessoa jurídica, não basta a </w:t>
      </w:r>
      <w:r w:rsidR="006C2AA1" w:rsidRPr="007E6356">
        <w:rPr>
          <w:rFonts w:ascii="Arial" w:eastAsia="Arial" w:hAnsi="Arial" w:cs="Arial"/>
          <w:sz w:val="20"/>
          <w:szCs w:val="20"/>
          <w:lang w:val="pt-BR"/>
        </w:rPr>
        <w:lastRenderedPageBreak/>
        <w:t>mera declaração: é necessária a demonstração cabal de impossibilidade de a parte arcar com as despesas do processo". Sabe-se que há uma plêiade de normas que regulamentam a tutela coletiva no Brasil, sendo o chamado núcleo duro do microssistema coletivo formado pela Lei da Ação Civil Pública e pelo Código de Defesa do Consumidor. Eventualmente, é possível a ocorrência de conflitos entre as normas que fazem parte do microssistema coletivo</w:t>
      </w:r>
      <w:r w:rsidR="006C2AA1" w:rsidRPr="007E6356">
        <w:rPr>
          <w:rFonts w:ascii="Arial" w:eastAsia="Arial" w:hAnsi="Arial" w:cs="Arial"/>
          <w:b/>
          <w:bCs/>
          <w:sz w:val="20"/>
          <w:szCs w:val="20"/>
          <w:lang w:val="pt-BR"/>
        </w:rPr>
        <w:t xml:space="preserve">. </w:t>
      </w:r>
      <w:r w:rsidR="006C2AA1" w:rsidRPr="007E6356">
        <w:rPr>
          <w:rFonts w:ascii="Arial" w:eastAsia="Arial" w:hAnsi="Arial" w:cs="Arial"/>
          <w:b/>
          <w:bCs/>
          <w:sz w:val="20"/>
          <w:szCs w:val="20"/>
          <w:highlight w:val="lightGray"/>
          <w:lang w:val="pt-BR"/>
        </w:rPr>
        <w:t>A orientação, nesse caso, é a adoção do princípio da especialidade. Além disso, é prudente a prevalência da norma que, no caso, seja mais benéfica para a tutela do direito material coletivo.</w:t>
      </w:r>
      <w:r w:rsidR="006C2AA1" w:rsidRPr="007E6356">
        <w:rPr>
          <w:rFonts w:ascii="Arial" w:eastAsia="Arial" w:hAnsi="Arial" w:cs="Arial"/>
          <w:sz w:val="20"/>
          <w:szCs w:val="20"/>
          <w:lang w:val="pt-BR"/>
        </w:rPr>
        <w:t xml:space="preserve"> Tal entendimento, de adoção da norma que seja mais benéfica à tutela do direito material discutida no processo, deve ser aplicado, também, no caso de conflito entre normas do microssistema coletivo e normas que estejam fora dele. No caso dos autos, aplicável o artigo 18 da Lei 7.347/1985 (Lei da Ação Civil Pública), segundo o qual: "Nas ações de que trata esta lei, não haverá adiantamento de custas, emolumentos, honorários periciais e quaisquer outras despesas, nem condenação da associação autora, salvo comprovada má-fé, em honorários de advogado, custas e despesas processuais". Isso porque o intuito da norma foi incentivar ou, no mínimo, retirar as amarras que pudessem afastar o interesse no ajuizamento de ações coletivas. Além disso, </w:t>
      </w:r>
      <w:r w:rsidR="006C2AA1" w:rsidRPr="007E6356">
        <w:rPr>
          <w:rFonts w:ascii="Arial" w:eastAsia="Arial" w:hAnsi="Arial" w:cs="Arial"/>
          <w:b/>
          <w:bCs/>
          <w:sz w:val="20"/>
          <w:szCs w:val="20"/>
          <w:highlight w:val="lightGray"/>
          <w:lang w:val="pt-BR"/>
        </w:rPr>
        <w:t>o artigo 18 da Lei da 7.347/1985 está em consonância com o princípio da inafastabilidade da jurisdição, que assume nuances no processo coletivo e que preconiza, dentre outros pontos, a ampliação do acesso ao processo e a redução dos obstáculos para atingir esse fim.</w:t>
      </w:r>
      <w:r w:rsidR="006C2AA1" w:rsidRPr="007E6356">
        <w:rPr>
          <w:rFonts w:ascii="Arial" w:eastAsia="Arial" w:hAnsi="Arial" w:cs="Arial"/>
          <w:b/>
          <w:bCs/>
          <w:sz w:val="20"/>
          <w:szCs w:val="20"/>
          <w:lang w:val="pt-BR"/>
        </w:rPr>
        <w:t xml:space="preserve"> </w:t>
      </w:r>
      <w:r w:rsidR="006C2AA1" w:rsidRPr="007E6356">
        <w:rPr>
          <w:rFonts w:ascii="Arial" w:eastAsia="Arial" w:hAnsi="Arial" w:cs="Arial"/>
          <w:sz w:val="20"/>
          <w:szCs w:val="20"/>
          <w:lang w:val="pt-BR"/>
        </w:rPr>
        <w:t xml:space="preserve">Fica claro, diante dessa exposição, que exigir os requisitos do artigo 790-A, § 4º, da CLT, para a concessão dos benefícios da gratuidade de justiça ao Sindicato até mesmo quando este ajuíze ação civil pública vai de encontro à principiologia das normas que disciplinam o processo coletivo e, por isso, não merece prevalecer. Por outra via, ainda que os artigos 17 e 18 da Lei da Ação Civil Pública e 87 do Código de Defesa do Consumidor façam menção à "associação autora", não há dúvidas de que o Sindicato encontra-se abrangido nessa garantia, até mesmo por uma questão de isonomia. Portanto, em se tratando de ação civil pública movida pelo sindicato da categoria, na condição de substituto processual e abordando direitos individuais homogêneos, situação dos autos, deve incidir a proteção conferida pelos artigos 18 da Lei 7.347/1985 e 87 da Lei 8.078/1990. Precedentes. </w:t>
      </w:r>
      <w:r w:rsidR="006C2AA1" w:rsidRPr="007E6356">
        <w:rPr>
          <w:rFonts w:ascii="Arial" w:eastAsia="Arial" w:hAnsi="Arial" w:cs="Arial"/>
          <w:b/>
          <w:bCs/>
          <w:sz w:val="20"/>
          <w:szCs w:val="20"/>
          <w:highlight w:val="lightGray"/>
          <w:lang w:val="pt-BR"/>
        </w:rPr>
        <w:t>Nesse contexto, não demonstrada má-fé, a sucumbência do sindicato-autor não enseja o pagamento de honorários advocatícios à parte demandada, tampouco o pagamento de custas processuais, mesmo após a vigência da Lei 13.467/2017, tendo em vista que aludidos dispositivos regem especificamente a proteção dos direitos coletivos. Recurso de revista</w:t>
      </w:r>
      <w:r w:rsidR="006C2AA1" w:rsidRPr="007E6356">
        <w:rPr>
          <w:rFonts w:ascii="Arial" w:eastAsia="Arial" w:hAnsi="Arial" w:cs="Arial"/>
          <w:b/>
          <w:bCs/>
          <w:sz w:val="20"/>
          <w:szCs w:val="20"/>
          <w:lang w:val="pt-BR"/>
        </w:rPr>
        <w:t xml:space="preserve"> conhecido e provido</w:t>
      </w:r>
      <w:r w:rsidR="006C2AA1" w:rsidRPr="007E6356">
        <w:rPr>
          <w:rFonts w:ascii="Arial" w:eastAsia="Arial" w:hAnsi="Arial" w:cs="Arial"/>
          <w:sz w:val="20"/>
          <w:szCs w:val="20"/>
          <w:lang w:val="pt-BR"/>
        </w:rPr>
        <w:t>" (RR-101012-11.2021.5.01.0053, 6ª Turma, Relator Ministro Augusto Cesar Leite de Carvalho, DEJT 28/06/2024).</w:t>
      </w:r>
    </w:p>
    <w:p w:rsidR="002E5D27" w:rsidRPr="008C65D9" w:rsidRDefault="005E3923">
      <w:pPr>
        <w:spacing w:before="240" w:after="567" w:line="360" w:lineRule="atLeast"/>
        <w:jc w:val="both"/>
        <w:rPr>
          <w:rFonts w:ascii="Arial" w:hAnsi="Arial" w:cs="Arial"/>
          <w:sz w:val="21"/>
          <w:szCs w:val="21"/>
          <w:lang w:val="pt-BR"/>
        </w:rPr>
      </w:pPr>
      <w:r w:rsidRPr="008C65D9">
        <w:rPr>
          <w:rFonts w:ascii="Arial" w:eastAsia="Arial" w:hAnsi="Arial" w:cs="Arial"/>
          <w:b/>
          <w:bCs/>
          <w:sz w:val="21"/>
          <w:szCs w:val="21"/>
          <w:lang w:val="pt-BR"/>
        </w:rPr>
        <w:t>5</w:t>
      </w:r>
      <w:r w:rsidR="006023D9">
        <w:rPr>
          <w:rFonts w:ascii="Arial" w:eastAsia="Arial" w:hAnsi="Arial" w:cs="Arial"/>
          <w:b/>
          <w:bCs/>
          <w:sz w:val="21"/>
          <w:szCs w:val="21"/>
          <w:lang w:val="pt-BR"/>
        </w:rPr>
        <w:t>.</w:t>
      </w:r>
      <w:r w:rsidRPr="008C65D9">
        <w:rPr>
          <w:rFonts w:ascii="Arial" w:eastAsia="Arial" w:hAnsi="Arial" w:cs="Arial"/>
          <w:b/>
          <w:bCs/>
          <w:sz w:val="21"/>
          <w:szCs w:val="21"/>
          <w:lang w:val="pt-BR"/>
        </w:rPr>
        <w:t> HONORÁRIOS ASSISTENCIAIS</w:t>
      </w:r>
    </w:p>
    <w:p w:rsidR="002E5D27" w:rsidRPr="008C65D9" w:rsidRDefault="005E3923" w:rsidP="007E6356">
      <w:pPr>
        <w:spacing w:before="240" w:after="567" w:line="360" w:lineRule="atLeast"/>
        <w:ind w:firstLine="2268"/>
        <w:jc w:val="both"/>
        <w:rPr>
          <w:rFonts w:ascii="Arial" w:hAnsi="Arial" w:cs="Arial"/>
          <w:sz w:val="21"/>
          <w:szCs w:val="21"/>
          <w:lang w:val="pt-BR"/>
        </w:rPr>
      </w:pP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Os autores </w:t>
      </w:r>
      <w:r w:rsidR="00AD6220">
        <w:rPr>
          <w:rFonts w:ascii="Arial" w:eastAsia="Arial" w:hAnsi="Arial" w:cs="Arial"/>
          <w:sz w:val="21"/>
          <w:szCs w:val="21"/>
          <w:lang w:val="pt-BR"/>
        </w:rPr>
        <w:t>substituem em juízo a categoria</w:t>
      </w:r>
      <w:r w:rsidRPr="008C65D9">
        <w:rPr>
          <w:rFonts w:ascii="Arial" w:eastAsia="Arial" w:hAnsi="Arial" w:cs="Arial"/>
          <w:sz w:val="21"/>
          <w:szCs w:val="21"/>
          <w:lang w:val="pt-BR"/>
        </w:rPr>
        <w:t>, prestando os serviços jurídicos necessários, sendo devidos honorários de 20% do montante do valor da condenação (em caso de falta de efeitos pecuniários, pugna seja fixada sobre o valor da causa), consideradas a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s regras da Súmula 219, III do TST e da OJ 348 da SBDI-1 do TST. Saliente-se que o TST interpreta a OJ 348 </w:t>
      </w:r>
      <w:r w:rsidRPr="008C65D9">
        <w:rPr>
          <w:rFonts w:ascii="Arial" w:eastAsia="Arial" w:hAnsi="Arial" w:cs="Arial"/>
          <w:sz w:val="21"/>
          <w:szCs w:val="21"/>
          <w:lang w:val="pt-BR"/>
        </w:rPr>
        <w:lastRenderedPageBreak/>
        <w:t>no sentido que a base de cálculo deve incidir inclusive sobre a contribuição previdenciária patronal, conforme ementa abaixo transcrita:</w:t>
      </w:r>
    </w:p>
    <w:p w:rsidR="002E5D27" w:rsidRDefault="007E6356" w:rsidP="007E6356">
      <w:pPr>
        <w:pStyle w:val="Default"/>
        <w:spacing w:before="240" w:after="567"/>
        <w:ind w:left="2268"/>
        <w:jc w:val="both"/>
        <w:rPr>
          <w:rFonts w:ascii="Arial" w:hAnsi="Arial" w:cs="Arial"/>
          <w:sz w:val="20"/>
          <w:szCs w:val="20"/>
          <w:lang w:val="pt-BR"/>
        </w:rPr>
      </w:pPr>
      <w:r w:rsidRPr="007E6356">
        <w:rPr>
          <w:rFonts w:ascii="Arial" w:hAnsi="Arial" w:cs="Arial"/>
          <w:b/>
          <w:bCs/>
          <w:sz w:val="44"/>
          <w:szCs w:val="44"/>
          <w:lang w:val="pt-BR"/>
        </w:rPr>
        <w:t>TST</w:t>
      </w:r>
      <w:r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7E6356">
        <w:rPr>
          <w:rFonts w:ascii="Arial" w:hAnsi="Arial" w:cs="Arial"/>
          <w:b/>
          <w:bCs/>
          <w:sz w:val="20"/>
          <w:szCs w:val="20"/>
          <w:lang w:val="pt-BR"/>
        </w:rPr>
        <w:t xml:space="preserve">HONORÁRIOS ASSISTENCIAIS. BASE DE CÁLCULO. DEDUÇÃO DAS CONTRIBUIÇÕES PREVIDENCIÁRIAS. COTA-PARTE DO EMPREGADOR. ORIENTAÇÃO JURISPRUDENCIAL Nº 348 DA SBDI-1 DO TST. </w:t>
      </w:r>
      <w:r w:rsidRPr="007E6356">
        <w:rPr>
          <w:rFonts w:ascii="Arial" w:hAnsi="Arial" w:cs="Arial"/>
          <w:b/>
          <w:bCs/>
          <w:sz w:val="20"/>
          <w:szCs w:val="20"/>
          <w:lang w:val="pt-BR"/>
        </w:rPr>
        <w:br/>
      </w:r>
      <w:r w:rsidRPr="007E6356">
        <w:rPr>
          <w:rFonts w:ascii="Arial" w:hAnsi="Arial" w:cs="Arial"/>
          <w:sz w:val="20"/>
          <w:szCs w:val="20"/>
          <w:lang w:val="pt-BR"/>
        </w:rPr>
        <w:t xml:space="preserve">A jurisprudência desta Corte firmou-se no sentido de que os honorários advocatícios devem ser calculados tendo como base o valor líquido arbitrado à condenação, conforme se observa da Orientação Jurisprudencial nº 348 da SBDI-1 do TST: "HONORÁRIOS ADVOCATÍCIOS. BASE DE CÁLCULO. VALOR LÍQUIDO. LEI Nº 1.060, DE 05.02.1950 (DJ 25.04.2007) Os honorários advocatícios, arbitrados nos termos do art. 11, § 1º, da Lei nº 1.060, de 05.02.1950, devem incidir sobre o valor líquido da condenação, apurado na fase de liquidação de sentença, sem a dedução dos descontos fiscais e previdenciários." Desse modo, os honorários advocatícios devem ser arbitrados sobre o valor líquido apurado na execução de sentença, ou seja, sobre o valor total obtido depois de liquidada a condenação. Portanto, não há nenhuma previsão legal para que seja excluída da base de cálculo dos honorários assistenciais valores referentes à contribuição previdenciária devida pela empregadora. Precedentes. Recurso de revista </w:t>
      </w:r>
      <w:r w:rsidRPr="007E6356">
        <w:rPr>
          <w:rFonts w:ascii="Arial" w:hAnsi="Arial" w:cs="Arial"/>
          <w:b/>
          <w:bCs/>
          <w:sz w:val="20"/>
          <w:szCs w:val="20"/>
          <w:lang w:val="pt-BR"/>
        </w:rPr>
        <w:t>conhecido e provido</w:t>
      </w:r>
      <w:r w:rsidRPr="007E6356">
        <w:rPr>
          <w:rFonts w:ascii="Arial" w:hAnsi="Arial" w:cs="Arial"/>
          <w:sz w:val="20"/>
          <w:szCs w:val="20"/>
          <w:lang w:val="pt-BR"/>
        </w:rPr>
        <w:t>. (TST-RR-448-53.2014.5.03.0137, Relator Ministro JOSÉ ROBERTO FREIRE PIMENTA, 2ª Turma do TST, publicado no DEJT em 17/02/2017)</w:t>
      </w:r>
    </w:p>
    <w:p w:rsidR="006023D9" w:rsidRPr="006023D9" w:rsidRDefault="006023D9" w:rsidP="006023D9">
      <w:pPr>
        <w:spacing w:before="240" w:after="567" w:line="360" w:lineRule="atLeast"/>
        <w:jc w:val="both"/>
        <w:rPr>
          <w:rFonts w:ascii="Arial" w:eastAsia="Arial" w:hAnsi="Arial" w:cs="Arial"/>
          <w:b/>
          <w:bCs/>
          <w:sz w:val="21"/>
          <w:szCs w:val="21"/>
          <w:lang w:val="pt-BR"/>
        </w:rPr>
      </w:pPr>
      <w:r>
        <w:rPr>
          <w:rFonts w:ascii="Arial" w:eastAsia="Arial" w:hAnsi="Arial" w:cs="Arial"/>
          <w:b/>
          <w:bCs/>
          <w:sz w:val="21"/>
          <w:szCs w:val="21"/>
          <w:lang w:val="pt-BR"/>
        </w:rPr>
        <w:t>6.</w:t>
      </w:r>
      <w:r w:rsidRPr="006023D9">
        <w:rPr>
          <w:rFonts w:ascii="Arial" w:eastAsia="Arial" w:hAnsi="Arial" w:cs="Arial"/>
          <w:b/>
          <w:bCs/>
          <w:sz w:val="21"/>
          <w:szCs w:val="21"/>
          <w:lang w:val="pt-BR"/>
        </w:rPr>
        <w:t xml:space="preserve"> PEDIDOS</w:t>
      </w:r>
    </w:p>
    <w:p w:rsidR="006023D9" w:rsidRPr="00FF1A74" w:rsidRDefault="006023D9" w:rsidP="006023D9">
      <w:pPr>
        <w:spacing w:before="240" w:after="567" w:line="360" w:lineRule="atLeast"/>
        <w:ind w:firstLine="2268"/>
        <w:jc w:val="both"/>
        <w:rPr>
          <w:rFonts w:ascii="Arial" w:eastAsia="Arial" w:hAnsi="Arial" w:cs="Arial"/>
          <w:sz w:val="21"/>
          <w:szCs w:val="21"/>
          <w:lang w:val="pt-BR"/>
        </w:rPr>
      </w:pPr>
      <w:r>
        <w:rPr>
          <w:rFonts w:ascii="Arial" w:eastAsia="Arial" w:hAnsi="Arial" w:cs="Arial"/>
          <w:sz w:val="21"/>
          <w:szCs w:val="21"/>
          <w:lang w:val="pt-BR"/>
        </w:rPr>
        <w:t>R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equer em sede de TUTELA </w:t>
      </w:r>
      <w:r>
        <w:rPr>
          <w:rFonts w:ascii="Arial" w:eastAsia="Arial" w:hAnsi="Arial" w:cs="Arial"/>
          <w:sz w:val="21"/>
          <w:szCs w:val="21"/>
          <w:lang w:val="pt-BR"/>
        </w:rPr>
        <w:t>INBITÓRIA, pois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 presentes os requisitos legais do artigo </w:t>
      </w:r>
      <w:r>
        <w:rPr>
          <w:rFonts w:ascii="Arial" w:eastAsia="Arial" w:hAnsi="Arial" w:cs="Arial"/>
          <w:sz w:val="21"/>
          <w:szCs w:val="21"/>
          <w:lang w:val="pt-BR"/>
        </w:rPr>
        <w:t>497,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 </w:t>
      </w:r>
      <w:r w:rsidRPr="00FF1A74">
        <w:rPr>
          <w:rFonts w:ascii="Arial" w:eastAsia="Arial" w:hAnsi="Arial" w:cs="Arial"/>
          <w:sz w:val="21"/>
          <w:szCs w:val="21"/>
          <w:lang w:val="pt-BR"/>
        </w:rPr>
        <w:t>caput e</w:t>
      </w:r>
      <w:r>
        <w:rPr>
          <w:rFonts w:ascii="Arial" w:eastAsia="Arial" w:hAnsi="Arial" w:cs="Arial"/>
          <w:sz w:val="21"/>
          <w:szCs w:val="21"/>
          <w:lang w:val="pt-BR"/>
        </w:rPr>
        <w:t xml:space="preserve"> § único </w:t>
      </w:r>
      <w:r w:rsidRPr="008C65D9">
        <w:rPr>
          <w:rFonts w:ascii="Arial" w:eastAsia="Arial" w:hAnsi="Arial" w:cs="Arial"/>
          <w:sz w:val="21"/>
          <w:szCs w:val="21"/>
          <w:lang w:val="pt-BR"/>
        </w:rPr>
        <w:t>do CPC</w:t>
      </w:r>
      <w:r>
        <w:rPr>
          <w:rFonts w:ascii="Arial" w:eastAsia="Arial" w:hAnsi="Arial" w:cs="Arial"/>
          <w:sz w:val="21"/>
          <w:szCs w:val="21"/>
          <w:lang w:val="pt-BR"/>
        </w:rPr>
        <w:t>, determinação para que a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 reclamada </w:t>
      </w:r>
      <w:r>
        <w:rPr>
          <w:rFonts w:ascii="Arial" w:eastAsia="Arial" w:hAnsi="Arial" w:cs="Arial"/>
          <w:sz w:val="21"/>
          <w:szCs w:val="21"/>
          <w:lang w:val="pt-BR"/>
        </w:rPr>
        <w:t>se abstenha de impor aos trabalhadores a escolha por um dos vínculos, sob pena de demissão motivada, bem como, abster-se de considerar a espécie normativa LEI com</w:t>
      </w:r>
      <w:r w:rsidR="005F3797">
        <w:rPr>
          <w:rFonts w:ascii="Arial" w:eastAsia="Arial" w:hAnsi="Arial" w:cs="Arial"/>
          <w:sz w:val="21"/>
          <w:szCs w:val="21"/>
          <w:lang w:val="pt-BR"/>
        </w:rPr>
        <w:t>o</w:t>
      </w:r>
      <w:r>
        <w:rPr>
          <w:rFonts w:ascii="Arial" w:eastAsia="Arial" w:hAnsi="Arial" w:cs="Arial"/>
          <w:sz w:val="21"/>
          <w:szCs w:val="21"/>
          <w:lang w:val="pt-BR"/>
        </w:rPr>
        <w:t xml:space="preserve"> único critério de caracterização das profissões regulamentadas. Em caso de descumprimento deverá ser aplicada a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 pena de multa diária, a ser arbitrada por </w:t>
      </w:r>
      <w:r>
        <w:rPr>
          <w:rFonts w:ascii="Arial" w:eastAsia="Arial" w:hAnsi="Arial" w:cs="Arial"/>
          <w:sz w:val="21"/>
          <w:szCs w:val="21"/>
          <w:lang w:val="pt-BR"/>
        </w:rPr>
        <w:t>este juízo</w:t>
      </w:r>
      <w:r w:rsidRPr="008C65D9">
        <w:rPr>
          <w:rFonts w:ascii="Arial" w:eastAsia="Arial" w:hAnsi="Arial" w:cs="Arial"/>
          <w:sz w:val="21"/>
          <w:szCs w:val="21"/>
          <w:lang w:val="pt-BR"/>
        </w:rPr>
        <w:t>, em valor não inferior a R$ 50.000,00 (cinquenta mil reais) por dia e por empregado.</w:t>
      </w:r>
    </w:p>
    <w:p w:rsidR="002E5D27" w:rsidRPr="00B47C1D" w:rsidRDefault="00B47C1D" w:rsidP="00B47C1D">
      <w:pPr>
        <w:spacing w:before="240" w:after="567" w:line="360" w:lineRule="atLeast"/>
        <w:ind w:firstLine="2268"/>
        <w:jc w:val="both"/>
        <w:rPr>
          <w:rFonts w:ascii="Arial" w:eastAsia="Arial" w:hAnsi="Arial" w:cs="Arial"/>
          <w:sz w:val="21"/>
          <w:szCs w:val="21"/>
          <w:lang w:val="pt-BR"/>
        </w:rPr>
      </w:pPr>
      <w:r>
        <w:rPr>
          <w:rFonts w:ascii="Arial" w:eastAsia="Arial" w:hAnsi="Arial" w:cs="Arial"/>
          <w:sz w:val="21"/>
          <w:szCs w:val="21"/>
          <w:lang w:val="pt-BR"/>
        </w:rPr>
        <w:t>Requer</w:t>
      </w:r>
      <w:r w:rsidRPr="007E6356">
        <w:rPr>
          <w:rFonts w:ascii="Arial" w:eastAsia="Arial" w:hAnsi="Arial" w:cs="Arial"/>
          <w:sz w:val="21"/>
          <w:szCs w:val="21"/>
          <w:lang w:val="pt-BR"/>
        </w:rPr>
        <w:t xml:space="preserve"> também </w:t>
      </w:r>
      <w:r>
        <w:rPr>
          <w:rFonts w:ascii="Arial" w:eastAsia="Arial" w:hAnsi="Arial" w:cs="Arial"/>
          <w:sz w:val="21"/>
          <w:szCs w:val="21"/>
          <w:lang w:val="pt-BR"/>
        </w:rPr>
        <w:t>a</w:t>
      </w:r>
      <w:r w:rsidRPr="007E6356">
        <w:rPr>
          <w:rFonts w:ascii="Arial" w:eastAsia="Arial" w:hAnsi="Arial" w:cs="Arial"/>
          <w:sz w:val="21"/>
          <w:szCs w:val="21"/>
          <w:lang w:val="pt-BR"/>
        </w:rPr>
        <w:t xml:space="preserve"> concessão dos benefícios da assistência judiciária gratuita aos substituídos e ao sindicato, nos termos do art. 18 da Lei 7347, de 1985 e pelo deferimento de honorários de 20% do montante do valor da condenação (em caso de falta de efeitos pecuniários, pugna seja fixada sobre o valor da causa), nos termos da Súmula 219, III do TST e OJ 348 da SBDI-1 do TST.</w:t>
      </w:r>
    </w:p>
    <w:p w:rsidR="002E5D27" w:rsidRPr="008C65D9" w:rsidRDefault="005E3923" w:rsidP="007E6356">
      <w:pPr>
        <w:spacing w:before="240" w:after="567" w:line="360" w:lineRule="atLeast"/>
        <w:ind w:firstLine="2268"/>
        <w:jc w:val="both"/>
        <w:rPr>
          <w:rFonts w:ascii="Arial" w:hAnsi="Arial" w:cs="Arial"/>
          <w:sz w:val="21"/>
          <w:szCs w:val="21"/>
          <w:lang w:val="pt-BR"/>
        </w:rPr>
      </w:pPr>
      <w:r w:rsidRPr="008C65D9">
        <w:rPr>
          <w:rFonts w:ascii="Arial" w:eastAsia="Arial" w:hAnsi="Arial" w:cs="Arial"/>
          <w:sz w:val="21"/>
          <w:szCs w:val="21"/>
          <w:lang w:val="pt-BR"/>
        </w:rPr>
        <w:lastRenderedPageBreak/>
        <w:t>Protesta provar o alegado por todos os meios de prov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a em direito admitidos, depoimento pessoal, oitiva de testemunhas, perícias, vistorias e o que mais se fizer necessário para o esclarecimento da verdade. </w:t>
      </w:r>
    </w:p>
    <w:p w:rsidR="002E5D27" w:rsidRPr="008C65D9" w:rsidRDefault="005E3923">
      <w:pPr>
        <w:spacing w:before="240" w:after="567" w:line="360" w:lineRule="atLeast"/>
        <w:ind w:firstLine="2835"/>
        <w:jc w:val="both"/>
        <w:rPr>
          <w:rFonts w:ascii="Arial" w:hAnsi="Arial" w:cs="Arial"/>
          <w:sz w:val="21"/>
          <w:szCs w:val="21"/>
          <w:lang w:val="pt-BR"/>
        </w:rPr>
      </w:pP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Espera por fim, seja julgada </w:t>
      </w:r>
      <w:r w:rsidRPr="008C65D9">
        <w:rPr>
          <w:rFonts w:ascii="Arial" w:eastAsia="Arial" w:hAnsi="Arial" w:cs="Arial"/>
          <w:b/>
          <w:bCs/>
          <w:sz w:val="21"/>
          <w:szCs w:val="21"/>
          <w:lang w:val="pt-BR"/>
        </w:rPr>
        <w:t>PROCEDENTE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 a reclamação, para condenar a reclamada no pedido e demais cominações, sem exceção.</w:t>
      </w:r>
    </w:p>
    <w:p w:rsidR="002E5D27" w:rsidRPr="008C65D9" w:rsidRDefault="005E3923">
      <w:pPr>
        <w:spacing w:before="240" w:after="567" w:line="360" w:lineRule="atLeast"/>
        <w:ind w:firstLine="2835"/>
        <w:jc w:val="both"/>
        <w:rPr>
          <w:rFonts w:ascii="Arial" w:hAnsi="Arial" w:cs="Arial"/>
          <w:sz w:val="21"/>
          <w:szCs w:val="21"/>
          <w:lang w:val="pt-BR"/>
        </w:rPr>
      </w:pPr>
      <w:r w:rsidRPr="008C65D9">
        <w:rPr>
          <w:rFonts w:ascii="Arial" w:eastAsia="Arial" w:hAnsi="Arial" w:cs="Arial"/>
          <w:sz w:val="21"/>
          <w:szCs w:val="21"/>
          <w:lang w:val="pt-BR"/>
        </w:rPr>
        <w:t>Valor da causa</w:t>
      </w:r>
      <w:r w:rsidRPr="008C65D9">
        <w:rPr>
          <w:rFonts w:ascii="Arial" w:eastAsia="Arial" w:hAnsi="Arial" w:cs="Arial"/>
          <w:b/>
          <w:bCs/>
          <w:sz w:val="21"/>
          <w:szCs w:val="21"/>
          <w:lang w:val="pt-BR"/>
        </w:rPr>
        <w:t xml:space="preserve">: </w:t>
      </w:r>
      <w:r w:rsidRPr="008C65D9">
        <w:rPr>
          <w:rFonts w:ascii="Arial" w:eastAsia="Arial" w:hAnsi="Arial" w:cs="Arial"/>
          <w:sz w:val="21"/>
          <w:szCs w:val="21"/>
          <w:lang w:val="pt-BR"/>
        </w:rPr>
        <w:t>R$ 5.000,00 (cinco mil reais)</w:t>
      </w:r>
    </w:p>
    <w:p w:rsidR="002E5D27" w:rsidRPr="008C65D9" w:rsidRDefault="005E3923">
      <w:pPr>
        <w:spacing w:before="240" w:after="567" w:line="360" w:lineRule="atLeast"/>
        <w:jc w:val="center"/>
        <w:rPr>
          <w:rFonts w:ascii="Arial" w:hAnsi="Arial" w:cs="Arial"/>
          <w:sz w:val="21"/>
          <w:szCs w:val="21"/>
          <w:lang w:val="pt-BR"/>
        </w:rPr>
      </w:pPr>
      <w:r w:rsidRPr="008C65D9">
        <w:rPr>
          <w:rFonts w:ascii="Arial" w:eastAsia="Arial" w:hAnsi="Arial" w:cs="Arial"/>
          <w:sz w:val="21"/>
          <w:szCs w:val="21"/>
          <w:lang w:val="pt-BR"/>
        </w:rPr>
        <w:t>Termos em que,</w:t>
      </w:r>
      <w:r w:rsidR="005657D5" w:rsidRPr="008C65D9">
        <w:rPr>
          <w:rFonts w:ascii="Arial" w:eastAsia="Arial" w:hAnsi="Arial" w:cs="Arial"/>
          <w:sz w:val="21"/>
          <w:szCs w:val="21"/>
          <w:lang w:val="pt-BR"/>
        </w:rPr>
        <w:t xml:space="preserve"> p</w:t>
      </w:r>
      <w:r w:rsidRPr="008C65D9">
        <w:rPr>
          <w:rFonts w:ascii="Arial" w:eastAsia="Arial" w:hAnsi="Arial" w:cs="Arial"/>
          <w:sz w:val="21"/>
          <w:szCs w:val="21"/>
          <w:lang w:val="pt-BR"/>
        </w:rPr>
        <w:t>ede deferimento.</w:t>
      </w:r>
      <w:r w:rsidRPr="008C65D9">
        <w:rPr>
          <w:rFonts w:ascii="Arial" w:eastAsia="Arial" w:hAnsi="Arial" w:cs="Arial"/>
          <w:sz w:val="21"/>
          <w:szCs w:val="21"/>
          <w:lang w:val="pt-BR"/>
        </w:rPr>
        <w:br/>
      </w:r>
      <w:proofErr w:type="spellStart"/>
      <w:r w:rsidRPr="008C65D9">
        <w:rPr>
          <w:rFonts w:ascii="Arial" w:eastAsia="Arial" w:hAnsi="Arial" w:cs="Arial"/>
          <w:sz w:val="21"/>
          <w:szCs w:val="21"/>
          <w:lang w:val="pt-BR"/>
        </w:rPr>
        <w:t>xxxxxxxxxxxxxxx</w:t>
      </w:r>
      <w:proofErr w:type="spellEnd"/>
      <w:r w:rsidRPr="008C65D9">
        <w:rPr>
          <w:rFonts w:ascii="Arial" w:eastAsia="Arial" w:hAnsi="Arial" w:cs="Arial"/>
          <w:sz w:val="21"/>
          <w:szCs w:val="21"/>
          <w:lang w:val="pt-BR"/>
        </w:rPr>
        <w:t>,  de</w:t>
      </w:r>
      <w:proofErr w:type="gramStart"/>
      <w:r w:rsidR="000C19CC">
        <w:rPr>
          <w:rFonts w:ascii="Arial" w:eastAsia="Arial" w:hAnsi="Arial" w:cs="Arial"/>
          <w:sz w:val="21"/>
          <w:szCs w:val="21"/>
          <w:lang w:val="pt-BR"/>
        </w:rPr>
        <w:t xml:space="preserve">  </w:t>
      </w:r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 </w:t>
      </w:r>
      <w:proofErr w:type="spellStart"/>
      <w:proofErr w:type="gramEnd"/>
      <w:r w:rsidRPr="008C65D9">
        <w:rPr>
          <w:rFonts w:ascii="Arial" w:eastAsia="Arial" w:hAnsi="Arial" w:cs="Arial"/>
          <w:sz w:val="21"/>
          <w:szCs w:val="21"/>
          <w:lang w:val="pt-BR"/>
        </w:rPr>
        <w:t>de</w:t>
      </w:r>
      <w:proofErr w:type="spellEnd"/>
      <w:r w:rsidRPr="008C65D9">
        <w:rPr>
          <w:rFonts w:ascii="Arial" w:eastAsia="Arial" w:hAnsi="Arial" w:cs="Arial"/>
          <w:sz w:val="21"/>
          <w:szCs w:val="21"/>
          <w:lang w:val="pt-BR"/>
        </w:rPr>
        <w:t xml:space="preserve"> 2024.</w:t>
      </w:r>
    </w:p>
    <w:p w:rsidR="002E5D27" w:rsidRPr="008C65D9" w:rsidRDefault="005657D5">
      <w:pPr>
        <w:spacing w:before="240" w:after="567"/>
        <w:jc w:val="center"/>
        <w:rPr>
          <w:rFonts w:ascii="Arial" w:hAnsi="Arial" w:cs="Arial"/>
          <w:sz w:val="21"/>
          <w:szCs w:val="21"/>
          <w:lang w:val="pt-BR"/>
        </w:rPr>
      </w:pPr>
      <w:r w:rsidRPr="008C65D9">
        <w:rPr>
          <w:rFonts w:ascii="Arial" w:eastAsia="Arial" w:hAnsi="Arial" w:cs="Arial"/>
          <w:b/>
          <w:bCs/>
          <w:sz w:val="21"/>
          <w:szCs w:val="21"/>
          <w:lang w:val="pt-BR"/>
        </w:rPr>
        <w:t>XXXXXXXXXXX </w:t>
      </w:r>
      <w:r w:rsidRPr="008C65D9">
        <w:rPr>
          <w:rFonts w:ascii="Arial" w:eastAsia="Arial" w:hAnsi="Arial" w:cs="Arial"/>
          <w:b/>
          <w:bCs/>
          <w:sz w:val="21"/>
          <w:szCs w:val="21"/>
          <w:lang w:val="pt-BR"/>
        </w:rPr>
        <w:br/>
        <w:t xml:space="preserve">OAB/XX XXXXX </w:t>
      </w:r>
    </w:p>
    <w:p w:rsidR="00A77B3E" w:rsidRPr="008C65D9" w:rsidRDefault="00A77B3E">
      <w:pPr>
        <w:rPr>
          <w:rFonts w:ascii="Arial" w:hAnsi="Arial" w:cs="Arial"/>
          <w:sz w:val="21"/>
          <w:szCs w:val="21"/>
          <w:lang w:val="pt-BR"/>
        </w:rPr>
      </w:pPr>
    </w:p>
    <w:sectPr w:rsidR="00A77B3E" w:rsidRPr="008C65D9" w:rsidSect="00B94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7D4" w:rsidRDefault="00FD77D4" w:rsidP="00E53FF9">
      <w:r>
        <w:separator/>
      </w:r>
    </w:p>
  </w:endnote>
  <w:endnote w:type="continuationSeparator" w:id="0">
    <w:p w:rsidR="00FD77D4" w:rsidRDefault="00FD77D4" w:rsidP="00E53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7D4" w:rsidRDefault="00FD77D4" w:rsidP="00E53FF9">
      <w:r>
        <w:separator/>
      </w:r>
    </w:p>
  </w:footnote>
  <w:footnote w:type="continuationSeparator" w:id="0">
    <w:p w:rsidR="00FD77D4" w:rsidRDefault="00FD77D4" w:rsidP="00E53FF9">
      <w:r>
        <w:continuationSeparator/>
      </w:r>
    </w:p>
  </w:footnote>
  <w:footnote w:id="1">
    <w:p w:rsidR="008D59B8" w:rsidRPr="00E53FF9" w:rsidRDefault="008D59B8" w:rsidP="008D59B8">
      <w:pPr>
        <w:pStyle w:val="Textodenotaderodap"/>
        <w:rPr>
          <w:rFonts w:ascii="Arial" w:hAnsi="Arial" w:cs="Arial"/>
          <w:lang w:val="pt-BR"/>
        </w:rPr>
      </w:pPr>
      <w:r w:rsidRPr="00E53FF9">
        <w:rPr>
          <w:rStyle w:val="Refdenotaderodap"/>
          <w:rFonts w:ascii="Arial" w:hAnsi="Arial" w:cs="Arial"/>
        </w:rPr>
        <w:footnoteRef/>
      </w:r>
      <w:r w:rsidRPr="00E53FF9">
        <w:rPr>
          <w:rFonts w:ascii="Arial" w:hAnsi="Arial" w:cs="Arial"/>
          <w:lang w:val="pt-BR"/>
        </w:rPr>
        <w:t xml:space="preserve"> 1ª Turma, Rel. Min. NAPOLEÃO NUNES MAIA FILHO, publicado no </w:t>
      </w:r>
      <w:proofErr w:type="spellStart"/>
      <w:r w:rsidRPr="00E53FF9">
        <w:rPr>
          <w:rFonts w:ascii="Arial" w:hAnsi="Arial" w:cs="Arial"/>
          <w:lang w:val="pt-BR"/>
        </w:rPr>
        <w:t>DJe</w:t>
      </w:r>
      <w:proofErr w:type="spellEnd"/>
      <w:r w:rsidRPr="00E53FF9">
        <w:rPr>
          <w:rFonts w:ascii="Arial" w:hAnsi="Arial" w:cs="Arial"/>
          <w:lang w:val="pt-BR"/>
        </w:rPr>
        <w:t xml:space="preserve"> de 30/3/2017.</w:t>
      </w:r>
    </w:p>
  </w:footnote>
  <w:footnote w:id="2">
    <w:p w:rsidR="008D59B8" w:rsidRPr="00E53FF9" w:rsidRDefault="008D59B8" w:rsidP="008D59B8">
      <w:pPr>
        <w:pStyle w:val="Textodenotaderodap"/>
        <w:rPr>
          <w:lang w:val="pt-BR"/>
        </w:rPr>
      </w:pPr>
      <w:r w:rsidRPr="00E53FF9">
        <w:rPr>
          <w:rStyle w:val="Refdenotaderodap"/>
          <w:rFonts w:ascii="Arial" w:hAnsi="Arial" w:cs="Arial"/>
        </w:rPr>
        <w:footnoteRef/>
      </w:r>
      <w:r w:rsidRPr="00E53FF9">
        <w:rPr>
          <w:rFonts w:ascii="Arial" w:hAnsi="Arial" w:cs="Arial"/>
        </w:rPr>
        <w:t xml:space="preserve"> 1ª Turma, Rel. Min. BENEDITO GONÇALVES, </w:t>
      </w:r>
      <w:proofErr w:type="spellStart"/>
      <w:r w:rsidRPr="00E53FF9">
        <w:rPr>
          <w:rFonts w:ascii="Arial" w:hAnsi="Arial" w:cs="Arial"/>
        </w:rPr>
        <w:t>publicado</w:t>
      </w:r>
      <w:proofErr w:type="spellEnd"/>
      <w:r w:rsidRPr="00E53FF9">
        <w:rPr>
          <w:rFonts w:ascii="Arial" w:hAnsi="Arial" w:cs="Arial"/>
        </w:rPr>
        <w:t xml:space="preserve"> no </w:t>
      </w:r>
      <w:proofErr w:type="spellStart"/>
      <w:r w:rsidRPr="00E53FF9">
        <w:rPr>
          <w:rFonts w:ascii="Arial" w:hAnsi="Arial" w:cs="Arial"/>
        </w:rPr>
        <w:t>DJe</w:t>
      </w:r>
      <w:proofErr w:type="spellEnd"/>
      <w:r w:rsidRPr="00E53FF9">
        <w:rPr>
          <w:rFonts w:ascii="Arial" w:hAnsi="Arial" w:cs="Arial"/>
        </w:rPr>
        <w:t xml:space="preserve"> de 10/3/2017.</w:t>
      </w:r>
    </w:p>
  </w:footnote>
  <w:footnote w:id="3">
    <w:p w:rsidR="000F1F41" w:rsidRPr="008164DA" w:rsidRDefault="000F1F41" w:rsidP="000F1F41">
      <w:pPr>
        <w:pStyle w:val="Textodenotaderodap"/>
        <w:jc w:val="both"/>
        <w:rPr>
          <w:rFonts w:ascii="Arial" w:hAnsi="Arial" w:cs="Arial"/>
          <w:lang w:val="pt-BR"/>
        </w:rPr>
      </w:pPr>
      <w:r w:rsidRPr="008164DA">
        <w:rPr>
          <w:rStyle w:val="Refdenotaderodap"/>
          <w:rFonts w:ascii="Arial" w:hAnsi="Arial" w:cs="Arial"/>
        </w:rPr>
        <w:footnoteRef/>
      </w:r>
      <w:r w:rsidRPr="008164DA">
        <w:rPr>
          <w:rFonts w:ascii="Arial" w:hAnsi="Arial" w:cs="Arial"/>
          <w:lang w:val="pt-BR"/>
        </w:rPr>
        <w:t xml:space="preserve"> Observe-se que os empregados do ramo da saúde são obrigados pela realidade dos baixos salários a terem dois </w:t>
      </w:r>
      <w:r w:rsidR="003A080E" w:rsidRPr="008164DA">
        <w:rPr>
          <w:rFonts w:ascii="Arial" w:hAnsi="Arial" w:cs="Arial"/>
          <w:lang w:val="pt-BR"/>
        </w:rPr>
        <w:t>vínculos</w:t>
      </w:r>
      <w:r w:rsidRPr="008164DA">
        <w:rPr>
          <w:rFonts w:ascii="Arial" w:hAnsi="Arial" w:cs="Arial"/>
          <w:lang w:val="pt-BR"/>
        </w:rPr>
        <w:t xml:space="preserve"> como forma de sustento próprio. O quantitativo apurado reflete o problema econômico e social da categoria.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004FE"/>
    <w:multiLevelType w:val="hybridMultilevel"/>
    <w:tmpl w:val="57C22EE0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0AB9"/>
    <w:rsid w:val="00017342"/>
    <w:rsid w:val="00020E1B"/>
    <w:rsid w:val="000250A2"/>
    <w:rsid w:val="00032BDD"/>
    <w:rsid w:val="000714F0"/>
    <w:rsid w:val="000A4339"/>
    <w:rsid w:val="000C19CC"/>
    <w:rsid w:val="000D1223"/>
    <w:rsid w:val="000D30E9"/>
    <w:rsid w:val="000F1F41"/>
    <w:rsid w:val="00114203"/>
    <w:rsid w:val="00121009"/>
    <w:rsid w:val="0015294C"/>
    <w:rsid w:val="001A6057"/>
    <w:rsid w:val="001A6E6B"/>
    <w:rsid w:val="001D492A"/>
    <w:rsid w:val="00241897"/>
    <w:rsid w:val="002768EF"/>
    <w:rsid w:val="002A574F"/>
    <w:rsid w:val="002C4691"/>
    <w:rsid w:val="002E5D27"/>
    <w:rsid w:val="00335B2A"/>
    <w:rsid w:val="00337C2F"/>
    <w:rsid w:val="003A080E"/>
    <w:rsid w:val="003B371E"/>
    <w:rsid w:val="003D4A20"/>
    <w:rsid w:val="00417666"/>
    <w:rsid w:val="00441036"/>
    <w:rsid w:val="004E4D26"/>
    <w:rsid w:val="004F3664"/>
    <w:rsid w:val="0054163C"/>
    <w:rsid w:val="005657D5"/>
    <w:rsid w:val="005E3923"/>
    <w:rsid w:val="005F3797"/>
    <w:rsid w:val="006023D9"/>
    <w:rsid w:val="00623ACD"/>
    <w:rsid w:val="00635246"/>
    <w:rsid w:val="00684FCA"/>
    <w:rsid w:val="006C2AA1"/>
    <w:rsid w:val="007624DF"/>
    <w:rsid w:val="00787B8F"/>
    <w:rsid w:val="007B4E0E"/>
    <w:rsid w:val="007E4D16"/>
    <w:rsid w:val="007E6356"/>
    <w:rsid w:val="008164DA"/>
    <w:rsid w:val="00871A84"/>
    <w:rsid w:val="008840AB"/>
    <w:rsid w:val="008C65D9"/>
    <w:rsid w:val="008D59B8"/>
    <w:rsid w:val="008E2DF4"/>
    <w:rsid w:val="00950308"/>
    <w:rsid w:val="00950B6B"/>
    <w:rsid w:val="00962B22"/>
    <w:rsid w:val="00972AC7"/>
    <w:rsid w:val="009C496A"/>
    <w:rsid w:val="009E2A73"/>
    <w:rsid w:val="00A0241D"/>
    <w:rsid w:val="00A02567"/>
    <w:rsid w:val="00A117DC"/>
    <w:rsid w:val="00A37546"/>
    <w:rsid w:val="00A56881"/>
    <w:rsid w:val="00A73AC1"/>
    <w:rsid w:val="00A77B3E"/>
    <w:rsid w:val="00AA0DA1"/>
    <w:rsid w:val="00AD6220"/>
    <w:rsid w:val="00B47C1D"/>
    <w:rsid w:val="00B53314"/>
    <w:rsid w:val="00B85B5D"/>
    <w:rsid w:val="00B94F46"/>
    <w:rsid w:val="00BA1455"/>
    <w:rsid w:val="00BC5D47"/>
    <w:rsid w:val="00BE0DC3"/>
    <w:rsid w:val="00C024EE"/>
    <w:rsid w:val="00C73A5D"/>
    <w:rsid w:val="00CA2A55"/>
    <w:rsid w:val="00CF184F"/>
    <w:rsid w:val="00D72DA4"/>
    <w:rsid w:val="00D76819"/>
    <w:rsid w:val="00D779BC"/>
    <w:rsid w:val="00D862C5"/>
    <w:rsid w:val="00DE3479"/>
    <w:rsid w:val="00E04E2A"/>
    <w:rsid w:val="00E134D8"/>
    <w:rsid w:val="00E53FF9"/>
    <w:rsid w:val="00E6309E"/>
    <w:rsid w:val="00EA3E58"/>
    <w:rsid w:val="00ED303D"/>
    <w:rsid w:val="00F8500D"/>
    <w:rsid w:val="00FD77D4"/>
    <w:rsid w:val="00FF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F4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BodyText0">
    <w:name w:val="MsoBodyText"/>
    <w:basedOn w:val="Normal"/>
    <w:rsid w:val="00B94F46"/>
  </w:style>
  <w:style w:type="paragraph" w:customStyle="1" w:styleId="MsoFootnoteText0">
    <w:name w:val="MsoFootnoteText"/>
    <w:basedOn w:val="Normal"/>
    <w:rsid w:val="00B94F46"/>
  </w:style>
  <w:style w:type="paragraph" w:customStyle="1" w:styleId="MsoBodyText30">
    <w:name w:val="MsoBodyText3"/>
    <w:basedOn w:val="Normal"/>
    <w:rsid w:val="00B94F46"/>
  </w:style>
  <w:style w:type="paragraph" w:customStyle="1" w:styleId="Default">
    <w:name w:val="Default"/>
    <w:basedOn w:val="Normal"/>
    <w:rsid w:val="00B94F46"/>
  </w:style>
  <w:style w:type="paragraph" w:customStyle="1" w:styleId="paragraph">
    <w:name w:val="paragraph"/>
    <w:basedOn w:val="Normal"/>
    <w:rsid w:val="00D779BC"/>
    <w:pPr>
      <w:spacing w:before="100" w:beforeAutospacing="1" w:after="100" w:afterAutospacing="1"/>
    </w:pPr>
    <w:rPr>
      <w:lang w:val="pt-BR" w:eastAsia="pt-BR"/>
    </w:rPr>
  </w:style>
  <w:style w:type="character" w:customStyle="1" w:styleId="normaltextrun">
    <w:name w:val="normaltextrun"/>
    <w:basedOn w:val="Fontepargpadro"/>
    <w:rsid w:val="00D779BC"/>
  </w:style>
  <w:style w:type="character" w:customStyle="1" w:styleId="eop">
    <w:name w:val="eop"/>
    <w:basedOn w:val="Fontepargpadro"/>
    <w:rsid w:val="00D779BC"/>
  </w:style>
  <w:style w:type="paragraph" w:styleId="NormalWeb">
    <w:name w:val="Normal (Web)"/>
    <w:basedOn w:val="Normal"/>
    <w:uiPriority w:val="99"/>
    <w:unhideWhenUsed/>
    <w:rsid w:val="004E4D26"/>
    <w:pPr>
      <w:spacing w:before="100" w:beforeAutospacing="1" w:after="100" w:afterAutospacing="1"/>
    </w:pPr>
    <w:rPr>
      <w:lang w:val="pt-BR" w:eastAsia="pt-BR"/>
    </w:rPr>
  </w:style>
  <w:style w:type="character" w:customStyle="1" w:styleId="ui-provider">
    <w:name w:val="ui-provider"/>
    <w:basedOn w:val="Fontepargpadro"/>
    <w:rsid w:val="00E53FF9"/>
  </w:style>
  <w:style w:type="character" w:styleId="Forte">
    <w:name w:val="Strong"/>
    <w:basedOn w:val="Fontepargpadro"/>
    <w:uiPriority w:val="22"/>
    <w:qFormat/>
    <w:rsid w:val="00E53FF9"/>
    <w:rPr>
      <w:b/>
      <w:bCs/>
    </w:rPr>
  </w:style>
  <w:style w:type="paragraph" w:styleId="Textodenotaderodap">
    <w:name w:val="footnote text"/>
    <w:basedOn w:val="Normal"/>
    <w:link w:val="TextodenotaderodapChar"/>
    <w:rsid w:val="00E53FF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53FF9"/>
  </w:style>
  <w:style w:type="character" w:styleId="Refdenotaderodap">
    <w:name w:val="footnote reference"/>
    <w:basedOn w:val="Fontepargpadro"/>
    <w:rsid w:val="00E53FF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41897"/>
    <w:rPr>
      <w:color w:val="0000FF"/>
      <w:u w:val="single"/>
    </w:rPr>
  </w:style>
  <w:style w:type="character" w:customStyle="1" w:styleId="text">
    <w:name w:val="text"/>
    <w:basedOn w:val="Fontepargpadro"/>
    <w:rsid w:val="00241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AB3D3-A44A-4048-8C00-A158B6E6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3665</Words>
  <Characters>20371</Characters>
  <Application>Microsoft Office Word</Application>
  <DocSecurity>0</DocSecurity>
  <Lines>169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</dc:creator>
  <cp:lastModifiedBy>Fátima</cp:lastModifiedBy>
  <cp:revision>2</cp:revision>
  <dcterms:created xsi:type="dcterms:W3CDTF">2024-07-22T14:37:00Z</dcterms:created>
  <dcterms:modified xsi:type="dcterms:W3CDTF">2024-07-22T14:37:00Z</dcterms:modified>
</cp:coreProperties>
</file>